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48C15" w14:textId="77777777" w:rsidR="00951C82" w:rsidRPr="00075EA6" w:rsidRDefault="00951C82" w:rsidP="00951C82">
      <w:pPr>
        <w:pStyle w:val="PaperTitle"/>
        <w:spacing w:before="0"/>
        <w:rPr>
          <w:b w:val="0"/>
          <w:bCs/>
          <w:sz w:val="24"/>
          <w:szCs w:val="24"/>
        </w:rPr>
      </w:pPr>
      <w:r w:rsidRPr="00AB2439">
        <w:t>Practical Data Sovereignty Enforcement for Industrial Data Sharing with AssetHub</w:t>
      </w:r>
    </w:p>
    <w:p w14:paraId="680EC4FD" w14:textId="77777777" w:rsidR="00951C82" w:rsidRPr="00075EA6" w:rsidRDefault="00951C82" w:rsidP="00951C82">
      <w:pPr>
        <w:pStyle w:val="PaperTitle"/>
        <w:spacing w:before="0"/>
        <w:rPr>
          <w:b w:val="0"/>
          <w:bCs/>
          <w:sz w:val="24"/>
          <w:szCs w:val="24"/>
        </w:rPr>
      </w:pPr>
    </w:p>
    <w:p w14:paraId="19A80311" w14:textId="77777777" w:rsidR="00951C82" w:rsidRPr="00EF045A" w:rsidRDefault="00951C82" w:rsidP="00951C82">
      <w:pPr>
        <w:pStyle w:val="AuthorName"/>
      </w:pPr>
      <w:r>
        <w:t>Zheng Hung Gan</w:t>
      </w:r>
      <w:r w:rsidRPr="2F830975">
        <w:rPr>
          <w:vertAlign w:val="superscript"/>
        </w:rPr>
        <w:t xml:space="preserve">1, </w:t>
      </w:r>
      <w:r>
        <w:rPr>
          <w:vertAlign w:val="superscript"/>
        </w:rPr>
        <w:t>b</w:t>
      </w:r>
      <w:r w:rsidRPr="2F830975">
        <w:rPr>
          <w:vertAlign w:val="superscript"/>
        </w:rPr>
        <w:t>)</w:t>
      </w:r>
      <w:r>
        <w:t>, Thein Lai</w:t>
      </w:r>
      <w:r w:rsidRPr="00EF045A">
        <w:t xml:space="preserve"> </w:t>
      </w:r>
      <w:r>
        <w:t>Wong</w:t>
      </w:r>
      <w:r>
        <w:rPr>
          <w:vertAlign w:val="superscript"/>
        </w:rPr>
        <w:t>1</w:t>
      </w:r>
      <w:r w:rsidRPr="2F830975">
        <w:rPr>
          <w:vertAlign w:val="superscript"/>
        </w:rPr>
        <w:t xml:space="preserve">, </w:t>
      </w:r>
      <w:r>
        <w:rPr>
          <w:vertAlign w:val="superscript"/>
        </w:rPr>
        <w:t>a</w:t>
      </w:r>
      <w:r w:rsidRPr="2F830975">
        <w:rPr>
          <w:vertAlign w:val="superscript"/>
        </w:rPr>
        <w:t>)</w:t>
      </w:r>
      <w:r>
        <w:t>, Wah Pheng Lee</w:t>
      </w:r>
      <w:r>
        <w:rPr>
          <w:vertAlign w:val="superscript"/>
        </w:rPr>
        <w:t>2</w:t>
      </w:r>
      <w:r w:rsidRPr="2F830975">
        <w:rPr>
          <w:vertAlign w:val="superscript"/>
        </w:rPr>
        <w:t xml:space="preserve">, </w:t>
      </w:r>
      <w:r>
        <w:rPr>
          <w:vertAlign w:val="superscript"/>
        </w:rPr>
        <w:t>c</w:t>
      </w:r>
      <w:r w:rsidRPr="2F830975">
        <w:rPr>
          <w:vertAlign w:val="superscript"/>
        </w:rPr>
        <w:t>)</w:t>
      </w:r>
      <w:r>
        <w:rPr>
          <w:vertAlign w:val="superscript"/>
        </w:rPr>
        <w:t xml:space="preserve"> </w:t>
      </w:r>
    </w:p>
    <w:p w14:paraId="5918C78D" w14:textId="77777777" w:rsidR="00951C82" w:rsidRPr="000141E1" w:rsidRDefault="00951C82" w:rsidP="00951C82">
      <w:pPr>
        <w:pStyle w:val="AuthorAffiliation"/>
      </w:pPr>
      <w:r w:rsidRPr="000141E1">
        <w:rPr>
          <w:vertAlign w:val="superscript"/>
        </w:rPr>
        <w:t>1</w:t>
      </w:r>
      <w:r w:rsidRPr="000141E1">
        <w:t xml:space="preserve"> </w:t>
      </w:r>
      <w:proofErr w:type="spellStart"/>
      <w:r w:rsidRPr="000141E1">
        <w:t>Tunku</w:t>
      </w:r>
      <w:proofErr w:type="spellEnd"/>
      <w:r w:rsidRPr="000141E1">
        <w:t xml:space="preserve"> Abdul Rahman University of Management and Technology, Jalan Genting Kelang, Kuala Lumpur, 53300, Malaysia</w:t>
      </w:r>
    </w:p>
    <w:p w14:paraId="61FCD055" w14:textId="77777777" w:rsidR="00D6580C" w:rsidRDefault="00951C82" w:rsidP="00951C82">
      <w:pPr>
        <w:pStyle w:val="AuthorAffiliation"/>
      </w:pPr>
      <w:r w:rsidRPr="000141E1">
        <w:rPr>
          <w:vertAlign w:val="superscript"/>
        </w:rPr>
        <w:t>2</w:t>
      </w:r>
      <w:r w:rsidRPr="000141E1">
        <w:t xml:space="preserve">Omis Consulting </w:t>
      </w:r>
      <w:proofErr w:type="spellStart"/>
      <w:r w:rsidRPr="000141E1">
        <w:t>Sdn</w:t>
      </w:r>
      <w:proofErr w:type="spellEnd"/>
      <w:r w:rsidRPr="000141E1">
        <w:t xml:space="preserve">. Bhd., Jalan Sungai </w:t>
      </w:r>
      <w:proofErr w:type="spellStart"/>
      <w:r w:rsidRPr="000141E1">
        <w:t>Besi</w:t>
      </w:r>
      <w:proofErr w:type="spellEnd"/>
      <w:r w:rsidRPr="000141E1">
        <w:t>, Kuala Lumpur, 57100, Malaysia</w:t>
      </w:r>
    </w:p>
    <w:p w14:paraId="26AC581F" w14:textId="4508143A" w:rsidR="00951C82" w:rsidRPr="000141E1" w:rsidRDefault="00951C82" w:rsidP="00951C82">
      <w:pPr>
        <w:pStyle w:val="AuthorAffiliation"/>
      </w:pPr>
      <w:r w:rsidRPr="000141E1">
        <w:br/>
      </w:r>
      <w:r w:rsidRPr="000141E1">
        <w:rPr>
          <w:szCs w:val="28"/>
          <w:vertAlign w:val="superscript"/>
        </w:rPr>
        <w:t>a)</w:t>
      </w:r>
      <w:r w:rsidRPr="000141E1">
        <w:t xml:space="preserve"> Corresponding author: wongtl@tarc.edu.my</w:t>
      </w:r>
      <w:r w:rsidRPr="000141E1">
        <w:br/>
      </w:r>
      <w:r w:rsidRPr="000141E1">
        <w:rPr>
          <w:szCs w:val="28"/>
          <w:vertAlign w:val="superscript"/>
        </w:rPr>
        <w:t>b)</w:t>
      </w:r>
      <w:r w:rsidRPr="000141E1">
        <w:t xml:space="preserve"> ganzh-wr20@student.tarc.edu.my</w:t>
      </w:r>
    </w:p>
    <w:p w14:paraId="78BE19BB" w14:textId="220784FF" w:rsidR="00951C82" w:rsidRPr="000141E1" w:rsidRDefault="00951C82" w:rsidP="00951C82">
      <w:pPr>
        <w:pStyle w:val="AuthorEmail"/>
        <w:rPr>
          <w:i/>
          <w:lang w:eastAsia="en-GB"/>
        </w:rPr>
      </w:pPr>
      <w:r w:rsidRPr="000141E1">
        <w:rPr>
          <w:i/>
          <w:szCs w:val="28"/>
          <w:vertAlign w:val="superscript"/>
        </w:rPr>
        <w:t xml:space="preserve">c) </w:t>
      </w:r>
      <w:r w:rsidRPr="000141E1">
        <w:rPr>
          <w:i/>
        </w:rPr>
        <w:t>leewp@omis-consulting.com</w:t>
      </w:r>
    </w:p>
    <w:p w14:paraId="00E5F592" w14:textId="52DA2BA9" w:rsidR="001966D4" w:rsidRDefault="0016385D" w:rsidP="00985874">
      <w:pPr>
        <w:pStyle w:val="Abstract"/>
      </w:pPr>
      <w:r w:rsidRPr="00075EA6">
        <w:rPr>
          <w:b/>
          <w:bCs/>
        </w:rPr>
        <w:t>Abstract.</w:t>
      </w:r>
      <w:r w:rsidRPr="00075EA6">
        <w:t xml:space="preserve"> </w:t>
      </w:r>
      <w:r w:rsidR="00153EF7" w:rsidRPr="00153EF7">
        <w:t>Ensuring data sovereignty in Industry 4.0 environments requires more than restricting access to asset data. It also demands oversight of how the data is used after it has been shared. This paper introduces a lightweight and practical usage control mechanism that is embedded within AssetHub, a data-sharing framework based on the Asset Administration Shell. The mechanism applies a JSON-based policy model and includes runtime components such as the Policy Enforcement Point, the Policy Decision Point, and an Evaluator. It supports two enforcement methods that offer fine-grained control over instance data. One method performs transformations at the field level, while the other excludes records based on defined constraints. The solution is modular, imposes minimal overhead, and operates without reliance on semantic tooling, which makes it suitable for integration into responsive and extensible industrial systems.</w:t>
      </w:r>
    </w:p>
    <w:p w14:paraId="5240E3FB" w14:textId="3D7FD93F" w:rsidR="003A287B" w:rsidRPr="00075EA6" w:rsidRDefault="00A56397" w:rsidP="00003D7C">
      <w:pPr>
        <w:pStyle w:val="Heading1"/>
        <w:rPr>
          <w:b w:val="0"/>
          <w:caps w:val="0"/>
          <w:sz w:val="20"/>
        </w:rPr>
      </w:pPr>
      <w:r>
        <w:t>INTRODUCTION</w:t>
      </w:r>
    </w:p>
    <w:p w14:paraId="69075653" w14:textId="5FCF4C8C" w:rsidR="008219EC" w:rsidRDefault="00153EF7" w:rsidP="008219EC">
      <w:pPr>
        <w:pStyle w:val="Paragraph"/>
      </w:pPr>
      <w:r w:rsidRPr="00153EF7">
        <w:t>As Industry 4.0 continues to reshape manufacturing and industrial collaboration, the exchange of asset data across organizational boundaries has become a key enabler of automation, predictive maintenance, and real-time decision-making. However, such data exchanges present a persistent challenge. Once data is accessed, traditional access control mechanisms offer no way to govern how it is used afterward. This limitation raises concerns around compliance, trust, and the safeguarding of intellectual property, especially in decentralized industrial ecosystems.</w:t>
      </w:r>
    </w:p>
    <w:p w14:paraId="5D3E6DAA" w14:textId="1D00B65A" w:rsidR="008219EC" w:rsidRDefault="00153EF7" w:rsidP="008219EC">
      <w:pPr>
        <w:pStyle w:val="Paragraph"/>
      </w:pPr>
      <w:r w:rsidRPr="00153EF7">
        <w:t>To address this, the concept of data sovereignty has become increasingly important. It focuses on ensuring that data usage aligns with the intent of the original provider. Several frameworks and data usage control models have been proposed in response, including policy-driven approaches such as those introduced by the International Data Spaces (IDS) initiative</w:t>
      </w:r>
      <w:r>
        <w:t xml:space="preserve"> </w:t>
      </w:r>
      <w:r w:rsidR="0014208E">
        <w:fldChar w:fldCharType="begin"/>
      </w:r>
      <w:r w:rsidR="0014208E">
        <w:instrText xml:space="preserve"> ADDIN ZOTERO_ITEM CSL_CITATION {"citationID":"7MIZZYcd","properties":{"formattedCitation":"[1]","plainCitation":"[1]","noteIndex":0},"citationItems":[{"id":86,"uris":["http://zotero.org/users/16480661/items/UZZ58FZ6"],"itemData":{"id":86,"type":"article-journal","container-title":"Aufl. IDS Association, Berlin","source":"Google Scholar","title":"Usage control in the international data spaces","author":[{"family":"Eitel","given":"Andreas"},{"family":"Jung","given":"C."},{"family":"Brandstädter","given":"R."},{"family":"Hosseinzadeh","given":"A."},{"family":"Bader","given":"S."},{"family":"Kühnle","given":"C."},{"family":"Birnstill","given":"P."},{"family":"Brost","given":"G."},{"family":"Gall","given":"M."},{"family":"Bruckner","given":"F."}],"issued":{"date-parts":[["2021"]]},"citation-key":"eitelUsageControlInternational2021"}}],"schema":"https://github.com/citation-style-language/schema/raw/master/csl-citation.json"} </w:instrText>
      </w:r>
      <w:r w:rsidR="0014208E">
        <w:fldChar w:fldCharType="separate"/>
      </w:r>
      <w:r w:rsidR="0014208E">
        <w:rPr>
          <w:noProof/>
        </w:rPr>
        <w:t>[1]</w:t>
      </w:r>
      <w:r w:rsidR="0014208E">
        <w:fldChar w:fldCharType="end"/>
      </w:r>
      <w:r w:rsidR="0014208E">
        <w:rPr>
          <w:noProof/>
        </w:rPr>
        <w:t xml:space="preserve">. </w:t>
      </w:r>
      <w:r w:rsidRPr="00153EF7">
        <w:t>Despite their strengths, many of these solutions depend on complex semantic models or middleware-level enforcement, which makes them difficult to adopt in the lightweight, asset-centric platforms often used in practice.</w:t>
      </w:r>
    </w:p>
    <w:p w14:paraId="4740625E" w14:textId="73EBD148" w:rsidR="008219EC" w:rsidRDefault="00153EF7" w:rsidP="008219EC">
      <w:pPr>
        <w:pStyle w:val="Paragraph"/>
      </w:pPr>
      <w:r w:rsidRPr="00153EF7">
        <w:t>This paper presents a practical solution that extends AssetHub, a modular data-sharing platform based on the Asset Administration Shell model, to support the runtime enforcement of Data Usage Control policies. The contribution introduces a lightweight policy description language expressed in JSON and a set of tailored policy patterns. These include techniques such as selective anonymization and conditional exclusion of records, which are designed to operate directly on asset instance data.</w:t>
      </w:r>
    </w:p>
    <w:p w14:paraId="4881719F" w14:textId="6777C8FF" w:rsidR="00A56397" w:rsidRDefault="008219EC" w:rsidP="008219EC">
      <w:pPr>
        <w:pStyle w:val="Paragraph"/>
      </w:pPr>
      <w:r>
        <w:t xml:space="preserve">The effectiveness of this approach is demonstrated through two local experiments that validate enforcement correctness in real-time data-sharing scenarios. Unlike prior work, the solution offers fine-grained, per-asset policy enforcement without the semantic or computational overhead of existing frameworks. The following section outlines relevant background and related work in </w:t>
      </w:r>
      <w:r w:rsidR="0040752B">
        <w:t>DUC</w:t>
      </w:r>
      <w:r>
        <w:t>, asset representation, and policy enforcement in industrial systems.</w:t>
      </w:r>
    </w:p>
    <w:p w14:paraId="1FCC5846" w14:textId="77777777" w:rsidR="00AA5BB0" w:rsidRDefault="00AA5BB0" w:rsidP="00AA5BB0">
      <w:pPr>
        <w:pStyle w:val="Heading1"/>
        <w:rPr>
          <w:lang w:val="en-MY" w:eastAsia="ja-JP"/>
        </w:rPr>
      </w:pPr>
      <w:r w:rsidRPr="00AA5BB0">
        <w:rPr>
          <w:lang w:val="en-MY" w:eastAsia="ja-JP"/>
        </w:rPr>
        <w:lastRenderedPageBreak/>
        <w:t>Background and Related Work</w:t>
      </w:r>
    </w:p>
    <w:p w14:paraId="47723898" w14:textId="13EF7BA0" w:rsidR="00AA5BB0" w:rsidRPr="00B74B5B" w:rsidRDefault="00AA5BB0" w:rsidP="00B74B5B">
      <w:pPr>
        <w:pStyle w:val="Heading2"/>
        <w:rPr>
          <w:sz w:val="36"/>
          <w:lang w:val="en-MY" w:eastAsia="ja-JP"/>
        </w:rPr>
      </w:pPr>
      <w:r>
        <w:t xml:space="preserve">Industry 4.0 </w:t>
      </w:r>
      <w:r w:rsidRPr="00AA5BB0">
        <w:t>and</w:t>
      </w:r>
      <w:r>
        <w:t xml:space="preserve"> Data Sharing</w:t>
      </w:r>
    </w:p>
    <w:p w14:paraId="11D9A74A" w14:textId="7F37B990" w:rsidR="00AA5BB0" w:rsidRDefault="0014208E" w:rsidP="00D12DFB">
      <w:pPr>
        <w:pStyle w:val="Paragraph"/>
        <w:rPr>
          <w:noProof/>
        </w:rPr>
      </w:pPr>
      <w:r w:rsidRPr="0014208E">
        <w:t>Industry 4.0 refers to the ongoing digital transformation of manufacturing and industrial ecosystems through the convergence of cyber-physical system, Internet of Things (IoT), and advanced data analytics</w:t>
      </w:r>
      <w:r>
        <w:t xml:space="preserve"> </w:t>
      </w:r>
      <w:r>
        <w:fldChar w:fldCharType="begin"/>
      </w:r>
      <w:r>
        <w:instrText xml:space="preserve"> ADDIN ZOTERO_ITEM CSL_CITATION {"citationID":"8n0r65VQ","properties":{"custom":"[2,3]","formattedCitation":"[2,3]","plainCitation":"[2,3]","noteIndex":0},"citationItems":[{"id":10,"uris":["http://zotero.org/users/16480661/items/KV4M99DD"],"itemData":{"id":10,"type":"article-journal","abstract":"The goal of the paper is to introduce specialists from industry into the important phenomenon of the recent technology and to explain cyber – physical and informatics background of the platform Industry 4.0 and basic steps in any design and implementation of the Industry 4.0 systems. Authors introduce readers in both the RAMI 4.0 as well as the Industry 4.0 Components models which represent necessary initial background of any Industry 4.0 application. The main stress is given to the Industry 4.0 components model, which enables designers from firms to understand already existing Industry 4.0 case studies and to develop their first Industry 4.0 case studies applications.","container-title":"IFAC-PapersOnLine","DOI":"10.1016/j.ifacol.2016.12.002","ISSN":"24058963","issue":"25","journalAbbreviation":"IFAC-PapersOnLine","language":"en","license":"https://www.elsevier.com/tdm/userlicense/1.0/","page":"8-12","source":"DOI.org (Crossref)","title":"Industry 4.0 – An Introduction in the phenomenon","volume":"49","author":[{"family":"Zezulka","given":"F."},{"family":"Marcon","given":"P."},{"family":"Vesely","given":"I."},{"family":"Sajdl","given":"O."}],"issued":{"date-parts":[["2016"]]},"citation-key":"zezulkaIndustry40Introduction2016"},"label":"page"},{"id":63,"uris":["http://zotero.org/users/16480661/items/5MCLGIKM"],"itemData":{"id":63,"type":"article-journal","abstract":"Industry 4.0 has been considered a new industrial stage in which several emerging technologies are converging to provide digital solutions. However, there is a lack of understanding of how companies implement these technologies. Thus, we aim to understand the adoption patterns of Industry 4.0 technologies in manufacturing firms. We propose a conceptual framework for these technologies, which we divided into front-end and base technologies. Front-end technologies consider four dimensions: Smart Manufacturing, Smart Products, Smart Supply Chain and Smart Working, while base technologies consider four elements: internet of things, cloud services, big data and analytics. We performed a survey in 92 manufacturing companies to study the implementation of these technologies. Our findings show that Industry 4.0 is related to a systemic adoption of the front-end technologies, in which Smart Manufacturing plays a central role. Our results also show that the implementation of the base technologies is challenging companies, since big data and analytics are still low implemented in the sample studied. We propose a structure of Industry 4.0 technology layers and we show levels of adoption of these technologies and their implication for manufacturing companies.","container-title":"International Journal of Production Economics","DOI":"10.1016/j.ijpe.2019.01.004","ISSN":"0925-5273","journalAbbreviation":"International Journal of Production Economics","page":"15-26","source":"ScienceDirect","title":"Industry 4.0 technologies: Implementation patterns in manufacturing companies","title-short":"Industry 4.0 technologies","volume":"210","author":[{"family":"Frank","given":"Alejandro Germán"},{"family":"Dalenogare","given":"Lucas Santos"},{"family":"Ayala","given":"Néstor Fabián"}],"issued":{"date-parts":[["2019",4,1]]},"citation-key":"frankIndustry40Technologies2019"},"label":"page"}],"schema":"https://github.com/citation-style-language/schema/raw/master/csl-citation.json"} </w:instrText>
      </w:r>
      <w:r>
        <w:fldChar w:fldCharType="separate"/>
      </w:r>
      <w:r>
        <w:rPr>
          <w:noProof/>
        </w:rPr>
        <w:t>[2,3]</w:t>
      </w:r>
      <w:r>
        <w:fldChar w:fldCharType="end"/>
      </w:r>
      <w:r w:rsidRPr="0014208E">
        <w:t xml:space="preserve">. These technologies support real-time process integration, system interconnectivity, and data-driven decision-making across organizational boundaries. At the core of this shift is the need to share asset-related data reliably between autonomous industrial actors. However, conventional access control mechanisms govern only initial access and do not provide guarantees on how data is subsequently used. </w:t>
      </w:r>
      <w:r w:rsidR="00153EF7" w:rsidRPr="00153EF7">
        <w:t>The lack of control over data after access heightens the risks related to compliance, confidentiality, and the protection of intellectual property. In response, the idea of data sovereignty has become a central design concern, emphasizing the need to ensure that shared data is used according to the terms intended by the provider</w:t>
      </w:r>
      <w:r w:rsidR="00D65517">
        <w:t xml:space="preserve"> </w:t>
      </w:r>
      <w:r w:rsidR="00D65517">
        <w:rPr>
          <w:noProof/>
        </w:rPr>
        <w:fldChar w:fldCharType="begin"/>
      </w:r>
      <w:r w:rsidR="00D65517">
        <w:rPr>
          <w:noProof/>
        </w:rPr>
        <w:instrText xml:space="preserve"> ADDIN ZOTERO_ITEM CSL_CITATION {"citationID":"ZNK09bHH","properties":{"custom":"\\super [1]\\nosupersub{}","formattedCitation":"\\super [1]\\nosupersub{}","plainCitation":"[1]","noteIndex":0},"citationItems":[{"id":86,"uris":["http://zotero.org/users/16480661/items/UZZ58FZ6"],"itemData":{"id":86,"type":"article-journal","container-title":"Aufl. IDS Association, Berlin","source":"Google Scholar","title":"Usage control in the international data spaces","author":[{"family":"Eitel","given":"Andreas"},{"family":"Jung","given":"C."},{"family":"Brandstädter","given":"R."},{"family":"Hosseinzadeh","given":"A."},{"family":"Bader","given":"S."},{"family":"Kühnle","given":"C."},{"family":"Birnstill","given":"P."},{"family":"Brost","given":"G."},{"family":"Gall","given":"M."},{"family":"Bruckner","given":"F."}],"issued":{"date-parts":[["2021"]]},"citation-key":"eitelUsageControlInternational2021"}}],"schema":"https://github.com/citation-style-language/schema/raw/master/csl-citation.json"} </w:instrText>
      </w:r>
      <w:r w:rsidR="00D65517">
        <w:rPr>
          <w:noProof/>
        </w:rPr>
        <w:fldChar w:fldCharType="separate"/>
      </w:r>
      <w:r w:rsidR="00D65517" w:rsidRPr="00D65517">
        <w:rPr>
          <w:noProof/>
        </w:rPr>
        <w:t>[1]</w:t>
      </w:r>
      <w:r w:rsidR="00D65517">
        <w:rPr>
          <w:noProof/>
        </w:rPr>
        <w:fldChar w:fldCharType="end"/>
      </w:r>
      <w:r w:rsidRPr="0014208E">
        <w:rPr>
          <w:noProof/>
        </w:rPr>
        <w:t>.</w:t>
      </w:r>
    </w:p>
    <w:p w14:paraId="6519426C" w14:textId="77777777" w:rsidR="00286ED2" w:rsidRDefault="00286ED2" w:rsidP="00286ED2">
      <w:pPr>
        <w:pStyle w:val="Heading2"/>
      </w:pPr>
      <w:r>
        <w:t xml:space="preserve">Asset </w:t>
      </w:r>
      <w:r w:rsidRPr="00286ED2">
        <w:t>Administration</w:t>
      </w:r>
      <w:r>
        <w:t xml:space="preserve"> Shell and AssetHub</w:t>
      </w:r>
    </w:p>
    <w:p w14:paraId="55C09639" w14:textId="29512418" w:rsidR="00A56397" w:rsidRPr="00B74B5B" w:rsidRDefault="0014208E" w:rsidP="00D12DFB">
      <w:pPr>
        <w:pStyle w:val="Paragraph"/>
        <w:rPr>
          <w:lang w:val="en-MY"/>
        </w:rPr>
      </w:pPr>
      <w:r w:rsidRPr="0014208E">
        <w:rPr>
          <w:lang w:val="en-MY"/>
        </w:rPr>
        <w:t>The AAS is a standardised framework for digitally representing industrial assets, allowing properties, operations, and identity information to be described in a machine-readable format. It plays a foundational role in enabling semantic interoperability and data integration across Industry 4.0 platforms. Building on this concept, AssetHub was developed as a modular platform for decentralised asset data sharing. It retains the structured modelling approach of AAS but was originally focused on secure data access and asset registration</w:t>
      </w:r>
      <w:r>
        <w:rPr>
          <w:lang w:val="en-MY"/>
        </w:rPr>
        <w:t xml:space="preserve"> </w:t>
      </w:r>
      <w:r w:rsidR="00D65517" w:rsidRPr="00C45A77">
        <w:rPr>
          <w:noProof/>
        </w:rPr>
        <w:fldChar w:fldCharType="begin"/>
      </w:r>
      <w:r w:rsidR="00C45A77" w:rsidRPr="00C45A77">
        <w:rPr>
          <w:noProof/>
        </w:rPr>
        <w:instrText xml:space="preserve"> ADDIN ZOTERO_ITEM CSL_CITATION {"citationID":"G32WeAgr","properties":{"custom":"\\super [4]\\nosupersub{}\\super \\nosupersub{}","formattedCitation":"\\super [4]\\nosupersub{}\\super \\nosupersub{}","plainCitation":"[4]","noteIndex":0},"citationItems":[{"id":4,"uris":["http://zotero.org/users/16480661/items/RICVE2QX"],"itemData":{"id":4,"type":"article-journal","abstract":"Mass individualized production refers to the mass production of individualized products. It becomes important for delivering a personalized customer experience in the Industrial Revolution 4.0 era. Developing seamless value chain integration between enterprises to achieve mass individualized production is challenging. Based on Reference Architecture Model Industrie 4.0 (RAMI 4.0), this paper aims to address two major challenges, which are asset modeling and integration, and data communication and brokering in a value chain data exchange ecosystem. This paper proposes a communication architecture that enables both vertical and horizontal value-chain integration. A proof-of-concept is built, which involves two stakeholders. The ﬁrst is the individualized juice online ordering system, named PEC, and the second is a highly automated individualized mixed juice production manufacturing line, named OMIS. Three different tests are conducted in the experiments. The ﬁrst is to test the creation of assets wrapped in the asset administration shell. The second is to test the connectivity between the Asset Brokering Manager (ABM) Connector and the ABM Portal. Last is to test the connectivity performance between two Asset Administration Systems. As a result, the experiments successfully created the asset instance data accurately, and the data were published in the ABM Portal for subscription by PEC and OMIS. The connectivity tests from OMIS to PEC, and vice versa, were successful, with the time taken of 114 and 121 ms, respectively.","container-title":"Information","DOI":"10.3390/info13020056","ISSN":"2078-2489","issue":"2","journalAbbreviation":"Information","language":"en","license":"https://creativecommons.org/licenses/by/4.0/","page":"56","source":"DOI.org (Crossref)","title":"Constructing a Real-Time Value-Chain Integration Architecture for Mass Individualized Juice Production","volume":"13","author":[{"family":"Hang","given":"Jen Hin"},{"family":"Charles","given":"Donovan Sheldon"},{"family":"Gan","given":"Zheng Hung"},{"family":"Gan","given":"Sze Kai"},{"family":"Lim","given":"Yee Mei"},{"family":"Lee","given":"Wah Pheng"},{"family":"Wong","given":"Thein Lai"},{"family":"Goh","given":"Ching Pang"}],"issued":{"date-parts":[["2022",1,23]]},"citation-key":"hangConstructingRealTimeValueChain2022"}}],"schema":"https://github.com/citation-style-language/schema/raw/master/csl-citation.json"} </w:instrText>
      </w:r>
      <w:r w:rsidR="00D65517" w:rsidRPr="00C45A77">
        <w:rPr>
          <w:noProof/>
        </w:rPr>
        <w:fldChar w:fldCharType="separate"/>
      </w:r>
      <w:r w:rsidR="00C45A77" w:rsidRPr="00C45A77">
        <w:rPr>
          <w:noProof/>
        </w:rPr>
        <w:t>[4]</w:t>
      </w:r>
      <w:r w:rsidR="00D65517" w:rsidRPr="00C45A77">
        <w:rPr>
          <w:noProof/>
        </w:rPr>
        <w:fldChar w:fldCharType="end"/>
      </w:r>
      <w:r w:rsidRPr="00C45A77">
        <w:rPr>
          <w:noProof/>
        </w:rPr>
        <w:t>.</w:t>
      </w:r>
      <w:r w:rsidRPr="0014208E">
        <w:rPr>
          <w:lang w:val="en-MY"/>
        </w:rPr>
        <w:t xml:space="preserve"> However, AssetHub lacked mechanisms to govern how shared data could be used after access was granted, limiting its ability to enforce compliance with provider-defined constraints. This highlighted the need for an extended enforcement layer capable of runtime </w:t>
      </w:r>
      <w:r w:rsidR="0040752B">
        <w:rPr>
          <w:lang w:val="en-MY"/>
        </w:rPr>
        <w:t xml:space="preserve">DUC </w:t>
      </w:r>
      <w:r w:rsidRPr="0014208E">
        <w:rPr>
          <w:lang w:val="en-MY"/>
        </w:rPr>
        <w:t>aligned with asset-centric operations.</w:t>
      </w:r>
    </w:p>
    <w:p w14:paraId="68EC21C5" w14:textId="45D86519" w:rsidR="00B74B5B" w:rsidRDefault="00B74B5B" w:rsidP="00B74B5B">
      <w:pPr>
        <w:pStyle w:val="Heading2"/>
      </w:pPr>
      <w:r>
        <w:t xml:space="preserve">DUC in </w:t>
      </w:r>
      <w:r w:rsidRPr="00B74B5B">
        <w:t>Industrial</w:t>
      </w:r>
      <w:r>
        <w:t xml:space="preserve"> Ecosystems</w:t>
      </w:r>
    </w:p>
    <w:p w14:paraId="19F2ED11" w14:textId="604480FD" w:rsidR="0014208E" w:rsidRDefault="0014208E" w:rsidP="0014208E">
      <w:pPr>
        <w:pStyle w:val="Paragraph"/>
      </w:pPr>
      <w:r>
        <w:t>A wide range of DUC frameworks have been developed to complement access control by regulating how data may be used after access. The UCONABC model introduced the notion of ongoing control by supporting obligations, attribute mutability, and continuous authorization</w:t>
      </w:r>
      <w:r w:rsidR="00C45A77">
        <w:t xml:space="preserve"> </w:t>
      </w:r>
      <w:r w:rsidR="00C45A77">
        <w:rPr>
          <w:noProof/>
        </w:rPr>
        <w:fldChar w:fldCharType="begin"/>
      </w:r>
      <w:r w:rsidR="00C45A77">
        <w:rPr>
          <w:noProof/>
        </w:rPr>
        <w:instrText xml:space="preserve"> ADDIN ZOTERO_ITEM CSL_CITATION {"citationID":"KCjWzueM","properties":{"custom":"\\super [5]\\nosupersub{}","formattedCitation":"\\super [5]\\nosupersub{}","plainCitation":"[5]","noteIndex":0},"citationItems":[{"id":1,"uris":["http://zotero.org/users/16480661/items/YK26UMMF"],"itemData":{"id":1,"type":"article-journal","abstract":"In this paper, we introduce the family of UCON\n              ABC\n              models for usage control (UCON), which integrate\n              Authorizations (A), oBligations (B), and Conditions (C)\n              . We call these core models because they address the essence of UCON, leaving administration, delegation, and other important but second-order issues for later work. The term usage control is a generalization of access control to cover authorizations, obligations, conditions, continuity (ongoing controls), and mutability. Traditionally, access control has dealt only with authorization decisions on users' access to target resources. Obligations are requirements that have to be fulfilled by obligation subjects for allowing access. Conditions are subject and object independent environmental or system requirements that have to be satisfied for access. In today's highly dynamic, distributed environment, obligations and conditions are also crucial\n              decision factors\n              for richer and finer controls on usage of digital resources. Although they have been discussed occasionally in recent literature, most authors have been motivated from specific target problems and thereby limited in their approaches. The UCON\n              ABC\n              model integrates these diverse concepts in a unified framework. Traditional authorization decisions are generally made at the time of requests but hardly recognize\n              ongoing controls\n              for relatively long-lived access or for immediate revocation. Moreover,\n              mutability\n              issues that deal with updates on related subject or object attributes as a consequence of access have not been systematically studied.Unlike other studies that have targeted on specific problems or issues, the UCON\n              ABC\n              model seeks to enrich and refine the access control discipline in its definition and scope. UCON\n              ABC\n              covers traditional access controls such as mandatory, discretionary, and role-based access control. Digital rights management and other modern access controls are also covered. UCON\n              ABC\n              lays the foundation for next generation access controls that are required for today's real-world information and systems security. This paper articulates the core of this new area of UCON and develops several detailed models.","container-title":"ACM Transactions on Information and System Security","DOI":"10.1145/984334.984339","ISSN":"1094-9224, 1557-7406","issue":"1","journalAbbreviation":"ACM Trans. Inf. Syst. Secur.","language":"en","page":"128-174","source":"DOI.org (Crossref)","title":"The UCON&lt;sub&gt;ABC&lt;/sub&gt; usage control model","volume":"7","author":[{"family":"Park","given":"Jaehong"},{"family":"Sandhu","given":"Ravi"}],"issued":{"date-parts":[["2004",2]]},"citation-key":"parkUCONABCUsageControl2004"}}],"schema":"https://github.com/citation-style-language/schema/raw/master/csl-citation.json"} </w:instrText>
      </w:r>
      <w:r w:rsidR="00C45A77">
        <w:rPr>
          <w:noProof/>
        </w:rPr>
        <w:fldChar w:fldCharType="separate"/>
      </w:r>
      <w:r w:rsidR="00C45A77" w:rsidRPr="00C45A77">
        <w:rPr>
          <w:noProof/>
        </w:rPr>
        <w:t>[5]</w:t>
      </w:r>
      <w:r w:rsidR="00C45A77">
        <w:rPr>
          <w:noProof/>
        </w:rPr>
        <w:fldChar w:fldCharType="end"/>
      </w:r>
      <w:r>
        <w:rPr>
          <w:noProof/>
        </w:rPr>
        <w:t xml:space="preserve">. </w:t>
      </w:r>
      <w:r>
        <w:t>It provided a theoretical basis for dynamic policy enforcement but remained abstract in implementation.</w:t>
      </w:r>
    </w:p>
    <w:p w14:paraId="1EB00AD9" w14:textId="4F62AB5B" w:rsidR="00B81A27" w:rsidRDefault="00B81A27" w:rsidP="0014208E">
      <w:pPr>
        <w:pStyle w:val="Paragraph"/>
      </w:pPr>
      <w:r w:rsidRPr="00B81A27">
        <w:t>Practical systems have since adapted these ideas to industrial and distributed environments. LUCON, proposed by Schütte and Brost</w:t>
      </w:r>
      <w:r>
        <w:t xml:space="preserve"> </w:t>
      </w:r>
      <w:r w:rsidR="00C45A77">
        <w:rPr>
          <w:noProof/>
        </w:rPr>
        <w:fldChar w:fldCharType="begin"/>
      </w:r>
      <w:r w:rsidR="00C45A77">
        <w:rPr>
          <w:noProof/>
        </w:rPr>
        <w:instrText xml:space="preserve"> ADDIN ZOTERO_ITEM CSL_CITATION {"citationID":"KRDgxgSi","properties":{"custom":"\\super [6]\\nosupersub{}","formattedCitation":"\\super [6]\\nosupersub{}","plainCitation":"[6]","noteIndex":0},"citationItems":[{"id":83,"uris":["http://zotero.org/users/16480661/items/6RMQTEKT"],"itemData":{"id":83,"type":"paper-conference","abstract":"Today’s emerging Industrial Internet of Things (IIoT) scenarios are characterized by the exchange of data between services across enterprises. Traditional access and usage control mechanisms are only able to determine if data may be used by a subject, but lack an understanding of how it may be used. The ability to control the way how data is processed is however crucial for enterprises to guarantee (and provide evidence of) compliant processing of critical data, as well as for users who need to control if their private data may be analyzed or linked with additional information – a major concern in IoT applications processing personal information. In this paper, we introduce LUCON, a data-centric security policy framework for distributed systems that considers data ﬂows by controlling how messages may be routed across services and how they are combined and processed. LUCON policies prevent information leaks, bind data usage to obligations, and enforce data ﬂows across services. Policy enforcement is based on a dynamic taint analysis at runtime and an upfront static veriﬁcation of message routes against policies. We discuss the semantics of these two complementing enforcement models and illustrate how LUCON policies are compiled from a simple policy language into a ﬁrst-order logic representation. We demonstrate the practical application of LUCON in a realworld IoT middleware and discuss its integration into Apache Camel. Finally, we evaluate the runtime impact of LUCON and discuss performance and scalability aspects.","container-title":"2018 17th IEEE International Conference On Trust, Security And Privacy In Computing And Communications/ 12th IEEE International Conference On Big Data Science And Engineering (TrustCom/BigDataSE)","DOI":"10.1109/TrustCom/BigDataSE.2018.00052","event-place":"New York, NY, USA","event-title":"2018 17th IEEE International Conference On Trust, Security And Privacy In Computing And Communications/ 12th IEEE International Conference On Big Data Science And Engineering (TrustCom/BigDataSE)","ISBN":"978-1-5386-4388-4","language":"en","license":"https://doi.org/10.15223/policy-029","page":"289-299","publisher":"IEEE","publisher-place":"New York, NY, USA","source":"DOI.org (Crossref)","title":"LUCON: Data Flow Control for Message-Based IoT Systems","title-short":"LUCON","URL":"https://ieeexplore.ieee.org/document/8455920/","author":[{"family":"Schuette","given":"Julian"},{"family":"Brost","given":"Gerd Stefan"}],"accessed":{"date-parts":[["2025",3,7]]},"issued":{"date-parts":[["2018",8]]},"citation-key":"schuetteLUCONDataFlow2018"}}],"schema":"https://github.com/citation-style-language/schema/raw/master/csl-citation.json"} </w:instrText>
      </w:r>
      <w:r w:rsidR="00C45A77">
        <w:rPr>
          <w:noProof/>
        </w:rPr>
        <w:fldChar w:fldCharType="separate"/>
      </w:r>
      <w:r w:rsidR="00C45A77" w:rsidRPr="00C45A77">
        <w:rPr>
          <w:noProof/>
        </w:rPr>
        <w:t>[6]</w:t>
      </w:r>
      <w:r w:rsidR="00C45A77">
        <w:rPr>
          <w:noProof/>
        </w:rPr>
        <w:fldChar w:fldCharType="end"/>
      </w:r>
      <w:r w:rsidRPr="00B81A27">
        <w:rPr>
          <w:noProof/>
        </w:rPr>
        <w:t xml:space="preserve">, </w:t>
      </w:r>
      <w:r w:rsidRPr="00B81A27">
        <w:t>enforces data flow policies using dynamic taint tracking and trust labels in message-oriented middleware. It supports runtime policy evaluation across distributed services and integrates with frameworks like Apache Camel. However, LUCON’s enforcement is limited to coarse-grained message flows and lacks the ability to control usage within structured asset data or digital twin representations.</w:t>
      </w:r>
    </w:p>
    <w:p w14:paraId="3FC23CAB" w14:textId="1955F7C6" w:rsidR="0014208E" w:rsidRDefault="00B81A27" w:rsidP="0014208E">
      <w:pPr>
        <w:pStyle w:val="Paragraph"/>
      </w:pPr>
      <w:r w:rsidRPr="00B81A27">
        <w:t>In parallel, CamFlow</w:t>
      </w:r>
      <w:r w:rsidR="0014208E">
        <w:t xml:space="preserve"> </w:t>
      </w:r>
      <w:r w:rsidR="00C45A77">
        <w:rPr>
          <w:noProof/>
        </w:rPr>
        <w:fldChar w:fldCharType="begin"/>
      </w:r>
      <w:r w:rsidR="00C45A77">
        <w:rPr>
          <w:noProof/>
        </w:rPr>
        <w:instrText xml:space="preserve"> ADDIN ZOTERO_ITEM CSL_CITATION {"citationID":"DCDNF6Vi","properties":{"custom":"\\super [7]\\nosupersub{}","formattedCitation":"\\super [7]\\nosupersub{}","plainCitation":"[7]","noteIndex":0},"citationItems":[{"id":69,"uris":["http://zotero.org/users/16480661/items/PFMJZTMP"],"itemData":{"id":69,"type":"article-journal","abstract":"A model of cloud services is emerging whereby a few trusted providers manage the underlying hardware and communications whereas many companies build on this infrastructure to offer higher level, cloud-hosted PaaS services and/or SaaS applications. From the start, strong isolation between cloud tenants was seen to be of paramount importance, provided ﬁrst by virtual machines (VM) and later by containers, which share the operating system (OS) kernel. Increasingly it is the case that applications also require facilities to effect isolation and protection of data managed by those applications. They also require ﬂexible data sharing with other applications, often across the traditional cloud-isolation boundaries; for example, when government, consisting of different departments, provides services to its citizens through a common platform.","container-title":"IEEE Transactions on Cloud Computing","DOI":"10.1109/TCC.2015.2489211","ISSN":"2168-7161","issue":"3","journalAbbreviation":"IEEE Trans. Cloud Comput.","language":"en","note":"arXiv:1506.04391 [cs]","page":"472-484","source":"arXiv.org","title":"CamFlow: Managed Data-sharing for Cloud Services","title-short":"CamFlow","volume":"5","author":[{"family":"Pasquier","given":"Thomas F. J.-M."},{"family":"Singh","given":"Jatinder"},{"family":"Eyers","given":"David"},{"family":"Bacon","given":"Jean"}],"issued":{"date-parts":[["2017",7,1]]},"citation-key":"pasquierCamFlowManagedDatasharing2017"}}],"schema":"https://github.com/citation-style-language/schema/raw/master/csl-citation.json"} </w:instrText>
      </w:r>
      <w:r w:rsidR="00C45A77">
        <w:rPr>
          <w:noProof/>
        </w:rPr>
        <w:fldChar w:fldCharType="separate"/>
      </w:r>
      <w:r w:rsidR="00C45A77" w:rsidRPr="00C45A77">
        <w:rPr>
          <w:noProof/>
        </w:rPr>
        <w:t>[7]</w:t>
      </w:r>
      <w:r w:rsidR="00C45A77">
        <w:rPr>
          <w:noProof/>
        </w:rPr>
        <w:fldChar w:fldCharType="end"/>
      </w:r>
      <w:r w:rsidR="00C45A77">
        <w:t xml:space="preserve"> </w:t>
      </w:r>
      <w:r w:rsidRPr="00B81A27">
        <w:t xml:space="preserve">extends usage control to the cloud infrastructure level by embedding enforcement mechanisms directly into the operating system through provenance tracking. Though effective for ensuring compliance in cloud-based systems, its system-level </w:t>
      </w:r>
      <w:r w:rsidR="00C45A77" w:rsidRPr="00B81A27">
        <w:t>ar</w:t>
      </w:r>
      <w:r w:rsidR="00C45A77">
        <w:t>c</w:t>
      </w:r>
      <w:r w:rsidR="00C45A77" w:rsidRPr="00B81A27">
        <w:t>hitecture</w:t>
      </w:r>
      <w:r w:rsidRPr="00B81A27">
        <w:t xml:space="preserve"> is not suited to lightweight industrial platforms such as AssetHub.</w:t>
      </w:r>
    </w:p>
    <w:p w14:paraId="682EB524" w14:textId="49E24CA9" w:rsidR="0014208E" w:rsidRDefault="00B81A27" w:rsidP="0014208E">
      <w:pPr>
        <w:pStyle w:val="Paragraph"/>
      </w:pPr>
      <w:r w:rsidRPr="00B81A27">
        <w:t>Industry-specific adaptations, such as OPC-UCON</w:t>
      </w:r>
      <w:r w:rsidR="00C45A77">
        <w:t xml:space="preserve"> </w:t>
      </w:r>
      <w:r w:rsidR="00C45A77">
        <w:rPr>
          <w:noProof/>
        </w:rPr>
        <w:fldChar w:fldCharType="begin"/>
      </w:r>
      <w:r w:rsidR="00C45A77">
        <w:rPr>
          <w:noProof/>
        </w:rPr>
        <w:instrText xml:space="preserve"> ADDIN ZOTERO_ITEM CSL_CITATION {"citationID":"K71tbsnS","properties":{"custom":"\\super [8]\\nosupersub{}","formattedCitation":"\\super [8]\\nosupersub{}","plainCitation":"[8]","noteIndex":0},"citationItems":[{"id":88,"uris":["http://zotero.org/users/16480661/items/9ITS42GE"],"itemData":{"id":88,"type":"paper-conference","abstract":"This work presents a framework that provides ongoing control on actions execution in the industrial environment exploiting the OPC Unified Architecture (OPC-UA) framework and the Usage Control (UCON) paradigm. We present a fine-grained usage control model, referred as OPC-UCON, satisfying security and privacy needs of the OPC-UA framework. Our proposed framework exploits the OPC-UA connectivity between simulated industrial components and uses the UCON paradigm for dynamically controlling actions execution according to fine-grained policies reported in the standardized format. The UCON paradigm, in a form of the system, is in charge of controlling the process of dynamic policy reevaluation and the possibility of revoking already granted authorization by stopping previously authorized actions if conditions do not satisfy policy anymore. We presented the implementation and deployment of the proposed framework in a simulated industrial environment with relevant security policies to reflect the advantages of the OPCUCON model.","container-title":"Proceedings of the 15th International Conference on Availability, Reliability and Security","DOI":"10.1145/3407023.3407077","event-place":"Virtual Event Ireland","event-title":"ARES 2020: The 15th International Conference on Availability, Reliability and Security","ISBN":"978-1-4503-8833-7","language":"en","page":"1-10","publisher":"ACM","publisher-place":"Virtual Event Ireland","source":"DOI.org (Crossref)","title":"Improving security in industry 4.0 by extending OPC-UA with usage control","URL":"https://dl.acm.org/doi/10.1145/3407023.3407077","author":[{"family":"Martinelli","given":"Fabio"},{"family":"Osliak","given":"Oleksii"},{"family":"Mori","given":"Paolo"},{"family":"Saracino","given":"Andrea"}],"accessed":{"date-parts":[["2025",3,11]]},"issued":{"date-parts":[["2020",8,25]]},"citation-key":"martinelliImprovingSecurityIndustry2020"}}],"schema":"https://github.com/citation-style-language/schema/raw/master/csl-citation.json"} </w:instrText>
      </w:r>
      <w:r w:rsidR="00C45A77">
        <w:rPr>
          <w:noProof/>
        </w:rPr>
        <w:fldChar w:fldCharType="separate"/>
      </w:r>
      <w:r w:rsidR="00C45A77" w:rsidRPr="00C45A77">
        <w:rPr>
          <w:noProof/>
        </w:rPr>
        <w:t>[8]</w:t>
      </w:r>
      <w:r w:rsidR="00C45A77">
        <w:rPr>
          <w:noProof/>
        </w:rPr>
        <w:fldChar w:fldCharType="end"/>
      </w:r>
      <w:r>
        <w:rPr>
          <w:noProof/>
        </w:rPr>
        <w:t>,</w:t>
      </w:r>
      <w:r w:rsidR="0014208E">
        <w:t xml:space="preserve"> </w:t>
      </w:r>
      <w:r w:rsidRPr="00B81A27">
        <w:t>embed usage control directly into the OPC-UA protocol stack for real-time industrial automation. However, these implementations are tightly coupled to communication protocols and lack portability for integration into more general-purpose, asset-centric frameworks.</w:t>
      </w:r>
    </w:p>
    <w:p w14:paraId="5A6DDDD9" w14:textId="16E90628" w:rsidR="00B74B5B" w:rsidRDefault="00B81A27" w:rsidP="0014208E">
      <w:pPr>
        <w:pStyle w:val="Paragraph"/>
      </w:pPr>
      <w:r w:rsidRPr="00B81A27">
        <w:t>Across these efforts, three limitations frequently emerge: the reliance on semantic-heavy policy languages (e.g., RDF, XACML), the absence of fine-grained enforcement at the asset or field level, and architectural dependencies that reduce adaptability. These gaps underscore the need for a lightweight, runtime-capable enforcement model that can operate directly on instance-level asset data in decentralized data sharing systems like AssetHub.</w:t>
      </w:r>
    </w:p>
    <w:p w14:paraId="07948734" w14:textId="3BC6ECFC" w:rsidR="00B74B5B" w:rsidRDefault="00B74B5B" w:rsidP="00B74B5B">
      <w:pPr>
        <w:pStyle w:val="Heading2"/>
      </w:pPr>
      <w:r>
        <w:t xml:space="preserve">Limitations of Existing </w:t>
      </w:r>
      <w:r w:rsidR="0040752B">
        <w:t>DUC</w:t>
      </w:r>
      <w:r>
        <w:t xml:space="preserve"> Frameworks for AssetHub</w:t>
      </w:r>
    </w:p>
    <w:p w14:paraId="0573AF96" w14:textId="1274ECC7" w:rsidR="00B81A27" w:rsidRDefault="00B81A27" w:rsidP="00B81A27">
      <w:pPr>
        <w:pStyle w:val="Paragraph"/>
      </w:pPr>
      <w:r>
        <w:t xml:space="preserve">The existing DUC frameworks, while valuable, are not well suited for direct integration into AssetHub’s asset-oriented design. Semantic-heavy policies increase processing overhead and are poorly aligned with real-time industrial responsiveness. Centralized policy engines and protocol-specific enforcement further constrain adaptability. More critically, most frameworks are designed to operate at the system or middleware level and lack the capacity to enforce </w:t>
      </w:r>
      <w:r>
        <w:lastRenderedPageBreak/>
        <w:t>policies over structured instance-level data, such as anonymizing fields or filtering records within asset data representations.</w:t>
      </w:r>
    </w:p>
    <w:p w14:paraId="0DD50DF6" w14:textId="68C9D840" w:rsidR="00A56397" w:rsidRPr="00B81A27" w:rsidRDefault="00B81A27" w:rsidP="00B81A27">
      <w:pPr>
        <w:pStyle w:val="Paragraph"/>
        <w:rPr>
          <w:lang w:val="en-MY"/>
        </w:rPr>
      </w:pPr>
      <w:r>
        <w:t>AssetHub requires an approach that enables decentralized, per-asset control without sacrificing responsiveness or compatibility with existing AAS-inspired architectures. This paper addresses that need by proposing a lightweight, runtime-enforced policy mechanism designed specifically for enforcement at the asset instance layer.</w:t>
      </w:r>
    </w:p>
    <w:p w14:paraId="050BA324" w14:textId="1EFA6D11" w:rsidR="00B818EA" w:rsidRDefault="00B81A27" w:rsidP="00B818EA">
      <w:pPr>
        <w:pStyle w:val="Heading1"/>
      </w:pPr>
      <w:r w:rsidRPr="00B81A27">
        <w:t xml:space="preserve">Tailored </w:t>
      </w:r>
      <w:r w:rsidR="0040752B">
        <w:t>DUC</w:t>
      </w:r>
      <w:r w:rsidRPr="00B81A27">
        <w:t xml:space="preserve"> Enforcement in AssetHub</w:t>
      </w:r>
    </w:p>
    <w:p w14:paraId="09C33855" w14:textId="5DD1328A" w:rsidR="00B818EA" w:rsidRPr="00B818EA" w:rsidRDefault="000507AF" w:rsidP="00B818EA">
      <w:pPr>
        <w:pStyle w:val="Heading2"/>
        <w:rPr>
          <w:sz w:val="36"/>
          <w:lang w:val="en-MY" w:eastAsia="ja-JP"/>
        </w:rPr>
      </w:pPr>
      <w:r w:rsidRPr="000507AF">
        <w:t>Architectural Extension of AssetHub</w:t>
      </w:r>
    </w:p>
    <w:p w14:paraId="079C29A1" w14:textId="2EB9D2BF" w:rsidR="006451F0" w:rsidRDefault="006451F0" w:rsidP="006451F0">
      <w:pPr>
        <w:pStyle w:val="Paragraph"/>
      </w:pPr>
      <w:r>
        <w:t>To support runtime data usage enforcement, AssetHub was extended with three core components: the Policy Enforcement Point (PEP), the Policy Decision Point (PDP), and the DUC Evaluator. These modules operate sequentially to enable instance-level policy enforcement within the data-serving pipeline.</w:t>
      </w:r>
    </w:p>
    <w:p w14:paraId="4C4F502D" w14:textId="58E6726D" w:rsidR="006451F0" w:rsidRDefault="00951C82" w:rsidP="006451F0">
      <w:pPr>
        <w:pStyle w:val="Paragraph"/>
      </w:pPr>
      <w:r w:rsidRPr="00951C82">
        <w:t>The Policy Enforcement Point intercepts outgoing API requests and passes them to the Policy Decision Point, which evaluates the applicable policy using contextual attributes including the requesting party, the asset identifier, and the intended purpose of access. The Data Usage Control Evaluator processes the policy logic and enforces actions in real time. These actions may involve modifying sensitive fields or filtering out records that do not meet policy conditions, before the final response is returned to the consumer. This enforcement process is modular and policy-driven, and it is integrated seamlessly into the architecture of AssetHub.</w:t>
      </w:r>
    </w:p>
    <w:p w14:paraId="09B3C76C" w14:textId="19C39D1A" w:rsidR="00B818EA" w:rsidRDefault="006451F0" w:rsidP="006451F0">
      <w:pPr>
        <w:pStyle w:val="Paragraph"/>
      </w:pPr>
      <w:r>
        <w:t>Figure 1 provides a high-level overview of the extended AssetHub architecture with DUC integration. It shows how modules such as the AAS Core, Data Exchange Framework, and external Identity Provider and Broker interact to support secure, policy-compliant data sharing. Within this framework, usage control is achieved through a dedicated DUC Module that ensures all shared data adheres to provider-defined policies.</w:t>
      </w:r>
    </w:p>
    <w:p w14:paraId="1C75D85F" w14:textId="77777777" w:rsidR="00B818EA" w:rsidRDefault="00B818EA" w:rsidP="00B818EA">
      <w:pPr>
        <w:pStyle w:val="Heading2"/>
      </w:pPr>
      <w:r>
        <w:rPr>
          <w:noProof/>
        </w:rPr>
        <w:drawing>
          <wp:inline distT="0" distB="0" distL="0" distR="0" wp14:anchorId="41EBA8F5" wp14:editId="5956D959">
            <wp:extent cx="4294294" cy="2810816"/>
            <wp:effectExtent l="0" t="0" r="0" b="0"/>
            <wp:docPr id="1602978910" name="Picture 1" descr="A diagram of a software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978910" name="Picture 1" descr="A diagram of a software system&#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4855296" cy="3178018"/>
                    </a:xfrm>
                    <a:prstGeom prst="rect">
                      <a:avLst/>
                    </a:prstGeom>
                  </pic:spPr>
                </pic:pic>
              </a:graphicData>
            </a:graphic>
          </wp:inline>
        </w:drawing>
      </w:r>
    </w:p>
    <w:p w14:paraId="46B0FCD8" w14:textId="3C5FDB03" w:rsidR="00B818EA" w:rsidRDefault="00B818EA" w:rsidP="00BD773F">
      <w:pPr>
        <w:pStyle w:val="FigureCaption"/>
        <w:spacing w:before="0"/>
      </w:pPr>
      <w:r>
        <w:rPr>
          <w:b/>
          <w:bCs/>
        </w:rPr>
        <w:t xml:space="preserve">FIGURE 1. </w:t>
      </w:r>
      <w:r w:rsidR="006451F0" w:rsidRPr="006451F0">
        <w:t>High-level architecture of AssetHub with integrated DUC modules. The architecture includes trust establishment via Identity Provider and Broker, policy enforcement via the DUC Module, and structured data exchange through the Connector and Real-time Hub</w:t>
      </w:r>
    </w:p>
    <w:p w14:paraId="26825112" w14:textId="77777777" w:rsidR="006451F0" w:rsidRPr="006451F0" w:rsidRDefault="006451F0" w:rsidP="006451F0">
      <w:pPr>
        <w:pStyle w:val="Paragraph"/>
      </w:pPr>
    </w:p>
    <w:p w14:paraId="0B4856A8" w14:textId="706CD8C8" w:rsidR="006451F0" w:rsidRDefault="006451F0" w:rsidP="006451F0">
      <w:pPr>
        <w:pStyle w:val="Paragraph"/>
      </w:pPr>
      <w:r>
        <w:t xml:space="preserve">While Figure 1 outlines the overall architecture of AssetHub with integrated DUC capabilities, Figure 2 zooms into the internal workflow of the DUC module itself. It details the interaction among components responsible for policy authoring, registration, decision-making, and enforcement. The process begins at the Policy Administration Point (PAP), where data providers define usage policies. These are stored via the Policy Management Point (PMP) and retrieved during runtime by the Policy Decision Point (PDP) when triggered by a request intercepted at the Policy Enforcement Point (PEP). If additional context is needed, the Policy Information Point (PIP) supplies attributes such </w:t>
      </w:r>
      <w:r>
        <w:lastRenderedPageBreak/>
        <w:t>as user role or time of access. Once evaluated, the PDP returns a decision that the PEP enforces before responding to the consumer.</w:t>
      </w:r>
    </w:p>
    <w:p w14:paraId="5BE2A718" w14:textId="71311A4F" w:rsidR="006451F0" w:rsidRDefault="006451F0" w:rsidP="006451F0">
      <w:pPr>
        <w:pStyle w:val="Paragraph"/>
      </w:pPr>
      <w:r>
        <w:t>Together, these two views demonstrate how AssetHub enforces dynamic, instance-level control over shared data, ensuring policy compliance and data sovereignty without compromising architectural modularity.</w:t>
      </w:r>
    </w:p>
    <w:p w14:paraId="781BFC85" w14:textId="2F4C1FB0" w:rsidR="006451F0" w:rsidRDefault="006451F0" w:rsidP="006451F0">
      <w:pPr>
        <w:pStyle w:val="Heading2"/>
      </w:pPr>
      <w:r>
        <w:rPr>
          <w:noProof/>
        </w:rPr>
        <w:drawing>
          <wp:inline distT="0" distB="0" distL="0" distR="0" wp14:anchorId="16687523" wp14:editId="485C8EFB">
            <wp:extent cx="5413274" cy="4118186"/>
            <wp:effectExtent l="0" t="0" r="0" b="0"/>
            <wp:docPr id="195587850" name="Picture 10" descr="A diagram of a data exchan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87850" name="Picture 10" descr="A diagram of a data exchange&#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560166" cy="4229935"/>
                    </a:xfrm>
                    <a:prstGeom prst="rect">
                      <a:avLst/>
                    </a:prstGeom>
                  </pic:spPr>
                </pic:pic>
              </a:graphicData>
            </a:graphic>
          </wp:inline>
        </w:drawing>
      </w:r>
    </w:p>
    <w:p w14:paraId="6147CBD1" w14:textId="76C0E7D7" w:rsidR="00B818EA" w:rsidRDefault="006451F0" w:rsidP="00BD773F">
      <w:pPr>
        <w:pStyle w:val="FigureCaption"/>
        <w:spacing w:before="0"/>
      </w:pPr>
      <w:r>
        <w:rPr>
          <w:b/>
          <w:bCs/>
        </w:rPr>
        <w:t xml:space="preserve">FIGURE 2. </w:t>
      </w:r>
      <w:r w:rsidRPr="006451F0">
        <w:t>Detailed internal flow of DUC component interactions. Policies are authored (PAP), stored (PMP), evaluated (PDP), and enforced (PEP) using contextual input (PIP) before asset data is shared</w:t>
      </w:r>
    </w:p>
    <w:p w14:paraId="5187B9F9" w14:textId="724246E7" w:rsidR="00B818EA" w:rsidRDefault="000507AF" w:rsidP="00B818EA">
      <w:pPr>
        <w:pStyle w:val="Heading2"/>
        <w:rPr>
          <w:sz w:val="36"/>
          <w:lang w:val="en-MY" w:eastAsia="ja-JP"/>
        </w:rPr>
      </w:pPr>
      <w:r w:rsidRPr="000507AF">
        <w:t>Policy Representation Using JSON-Based PDL</w:t>
      </w:r>
    </w:p>
    <w:p w14:paraId="372D4291" w14:textId="4B491527" w:rsidR="00951C82" w:rsidRDefault="00951C82" w:rsidP="000507AF">
      <w:pPr>
        <w:pStyle w:val="Paragraph"/>
      </w:pPr>
      <w:r w:rsidRPr="00951C82">
        <w:t xml:space="preserve">The enforcement mechanism is driven by a lightweight </w:t>
      </w:r>
      <w:r>
        <w:t>PDL</w:t>
      </w:r>
      <w:r w:rsidRPr="00951C82">
        <w:t xml:space="preserve"> written in JSON. Th</w:t>
      </w:r>
      <w:r>
        <w:t>e</w:t>
      </w:r>
      <w:r w:rsidRPr="00951C82">
        <w:t xml:space="preserve"> </w:t>
      </w:r>
      <w:r>
        <w:t xml:space="preserve">PDL </w:t>
      </w:r>
      <w:r w:rsidRPr="00951C82">
        <w:t>defines usage constraints based on factors such as identity, purpose, or time, and links each constraint with a corresponding enforcement duty that is applied when the condition is satisfied.</w:t>
      </w:r>
    </w:p>
    <w:p w14:paraId="175F693A" w14:textId="5597AF4F" w:rsidR="000507AF" w:rsidRDefault="000507AF" w:rsidP="000507AF">
      <w:pPr>
        <w:pStyle w:val="Paragraph"/>
      </w:pPr>
      <w:r>
        <w:t>The design prioritizes modularity and simplicity. Constraints and duties are expressed as structured key-value pairs, making the format both human-readable and machine-enforceable. The policy logic is aligned with AssetHub’s internal data model, allowing it to operate directly on instance-level data with minimal overhead.</w:t>
      </w:r>
    </w:p>
    <w:p w14:paraId="46C3FCAB" w14:textId="3A1E0B66" w:rsidR="00B818EA" w:rsidRDefault="000507AF" w:rsidP="000507AF">
      <w:pPr>
        <w:pStyle w:val="Paragraph"/>
      </w:pPr>
      <w:r>
        <w:t>This structure enables flexible enforcement logic that is suitable for decentralized industrial environments, while avoiding the processing costs associated with semantic-rich policy languages.</w:t>
      </w:r>
    </w:p>
    <w:p w14:paraId="071A07E2" w14:textId="7B9B2A58" w:rsidR="00B818EA" w:rsidRDefault="000507AF" w:rsidP="00B818EA">
      <w:pPr>
        <w:pStyle w:val="Heading2"/>
        <w:rPr>
          <w:sz w:val="36"/>
          <w:lang w:val="en-MY" w:eastAsia="ja-JP"/>
        </w:rPr>
      </w:pPr>
      <w:r w:rsidRPr="000507AF">
        <w:t>Enforcement Patterns and Runtime Behavior</w:t>
      </w:r>
    </w:p>
    <w:p w14:paraId="23F87C02" w14:textId="77777777" w:rsidR="000507AF" w:rsidRDefault="000507AF" w:rsidP="000507AF">
      <w:pPr>
        <w:pStyle w:val="Paragraph"/>
      </w:pPr>
      <w:r w:rsidRPr="000507AF">
        <w:t>Two</w:t>
      </w:r>
      <w:r>
        <w:t xml:space="preserve"> tailored enforcement patterns were developed to address common industrial data-sharing requirements:</w:t>
      </w:r>
    </w:p>
    <w:p w14:paraId="0EBA145F" w14:textId="06BFF77A" w:rsidR="000507AF" w:rsidRDefault="000507AF" w:rsidP="00951C82">
      <w:pPr>
        <w:pStyle w:val="Paragraphbulleted"/>
      </w:pPr>
      <w:r>
        <w:t xml:space="preserve">Selective Property Transformation Pattern: </w:t>
      </w:r>
      <w:r w:rsidR="00951C82" w:rsidRPr="00951C82">
        <w:t>modifies sensitive asset properties-such as replacing identifiers or personal fields with neutral placeholders-based on contextual constraints. This allows privacy preservation without structural disruption.</w:t>
      </w:r>
    </w:p>
    <w:p w14:paraId="53B19BC9" w14:textId="28A41D8C" w:rsidR="000507AF" w:rsidRDefault="000507AF" w:rsidP="000507AF">
      <w:pPr>
        <w:pStyle w:val="Paragraphbulleted"/>
      </w:pPr>
      <w:r>
        <w:lastRenderedPageBreak/>
        <w:t>Constraint-Based Record Filtering Pattern: removes entire asset records from the response set if specific policy conditions are not met. This supports fine-grained filtering based on parameters such as consumer identity, access purpose, or geographic context.</w:t>
      </w:r>
    </w:p>
    <w:p w14:paraId="2EC70754" w14:textId="22FE1E5B" w:rsidR="00AA5BB0" w:rsidRDefault="000507AF" w:rsidP="00985874">
      <w:pPr>
        <w:pStyle w:val="Paragraph"/>
      </w:pPr>
      <w:r>
        <w:t>These enforcement patterns are evaluated dynamically during each request and applied directly to the asset’s instance data. This approach enables post-access control without requiring any changes to the upstream data generation processes.</w:t>
      </w:r>
    </w:p>
    <w:p w14:paraId="53B84D74" w14:textId="1AD365CE" w:rsidR="003C16BF" w:rsidRDefault="00E7533F" w:rsidP="003C16BF">
      <w:pPr>
        <w:pStyle w:val="Heading1"/>
        <w:rPr>
          <w:sz w:val="48"/>
          <w:lang w:val="en-MY" w:eastAsia="ja-JP"/>
        </w:rPr>
      </w:pPr>
      <w:r w:rsidRPr="00E7533F">
        <w:t>Evaluation and Discussion</w:t>
      </w:r>
    </w:p>
    <w:p w14:paraId="7C4CCB14" w14:textId="57D8EA03" w:rsidR="003C16BF" w:rsidRDefault="00631F32" w:rsidP="003C16BF">
      <w:pPr>
        <w:pStyle w:val="Paragraph"/>
      </w:pPr>
      <w:r w:rsidRPr="00631F32">
        <w:t>This section evaluates the enforcement mechanism integrated into AssetHub, focusing on two core aspects: verifying that policies are correctly enforced at runtime and validating the compatibility of the approach with AssetHub’s existing modular architecture. The evaluation is based on a sample policy scenario applied to real asset instance data and reflects typical usage conditions found in decentralized industrial data-sharing environments.</w:t>
      </w:r>
    </w:p>
    <w:p w14:paraId="04E89F41" w14:textId="61FD167B" w:rsidR="003C16BF" w:rsidRDefault="00631F32" w:rsidP="003C16BF">
      <w:pPr>
        <w:pStyle w:val="Heading2"/>
      </w:pPr>
      <w:r w:rsidRPr="00631F32">
        <w:t>Enforcement Behavior Validation</w:t>
      </w:r>
    </w:p>
    <w:p w14:paraId="397E695E" w14:textId="661F3659" w:rsidR="00B87865" w:rsidRDefault="00563F35" w:rsidP="00563F35">
      <w:pPr>
        <w:pStyle w:val="Paragraph"/>
      </w:pPr>
      <w:r w:rsidRPr="00563F35">
        <w:t>A representative dataset of asset records was used to demonstrate the policy enforcement logic. The scenario illustrates how field-level anonymization and conditional exclusion were dynamically evaluated and applied during runtime. While limited in scope, the output confirms that both tailored enforcement patterns were triggered correctly in response to the policy constraint, providing functional validation of the enforcement logic.</w:t>
      </w:r>
      <w:r>
        <w:t xml:space="preserve"> </w:t>
      </w:r>
      <w:r w:rsidR="00631F32">
        <w:t xml:space="preserve">The JSON policy structure is shown in Figure </w:t>
      </w:r>
      <w:r w:rsidR="006451F0">
        <w:t>3</w:t>
      </w:r>
      <w:r w:rsidR="00631F32">
        <w:t>.</w:t>
      </w:r>
    </w:p>
    <w:p w14:paraId="76759400" w14:textId="715EC80F" w:rsidR="00EF045A" w:rsidRDefault="00B87865" w:rsidP="00B87865">
      <w:pPr>
        <w:pStyle w:val="Heading2"/>
      </w:pPr>
      <w:r w:rsidRPr="00B87865">
        <w:rPr>
          <w:noProof/>
        </w:rPr>
        <w:drawing>
          <wp:inline distT="0" distB="0" distL="0" distR="0" wp14:anchorId="5C2DD9B7" wp14:editId="7B3F5EA9">
            <wp:extent cx="2607733" cy="3300342"/>
            <wp:effectExtent l="0" t="0" r="0" b="1905"/>
            <wp:docPr id="1525144441"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144441" name="Picture 1" descr="A screenshot of a computer program&#10;&#10;AI-generated content may be incorrect."/>
                    <pic:cNvPicPr/>
                  </pic:nvPicPr>
                  <pic:blipFill>
                    <a:blip r:embed="rId11"/>
                    <a:stretch>
                      <a:fillRect/>
                    </a:stretch>
                  </pic:blipFill>
                  <pic:spPr>
                    <a:xfrm>
                      <a:off x="0" y="0"/>
                      <a:ext cx="2793654" cy="3535643"/>
                    </a:xfrm>
                    <a:prstGeom prst="rect">
                      <a:avLst/>
                    </a:prstGeom>
                  </pic:spPr>
                </pic:pic>
              </a:graphicData>
            </a:graphic>
          </wp:inline>
        </w:drawing>
      </w:r>
    </w:p>
    <w:p w14:paraId="0A90C882" w14:textId="618B1D03" w:rsidR="00E7533F" w:rsidRDefault="00B87865" w:rsidP="00BD773F">
      <w:pPr>
        <w:pStyle w:val="FigureCaption"/>
        <w:spacing w:before="0"/>
      </w:pPr>
      <w:r>
        <w:rPr>
          <w:b/>
          <w:bCs/>
        </w:rPr>
        <w:t>FIGURE</w:t>
      </w:r>
      <w:r w:rsidR="006451F0">
        <w:rPr>
          <w:b/>
          <w:bCs/>
        </w:rPr>
        <w:t xml:space="preserve"> 3</w:t>
      </w:r>
      <w:r>
        <w:rPr>
          <w:b/>
          <w:bCs/>
        </w:rPr>
        <w:t>.</w:t>
      </w:r>
      <w:r w:rsidR="00E7533F">
        <w:t xml:space="preserve"> </w:t>
      </w:r>
      <w:r w:rsidRPr="00B87865">
        <w:t xml:space="preserve">JSON policy structure enforcing field-level anonymization of the Operator property and conditional exclusion of records with "Critical error" in the </w:t>
      </w:r>
      <w:proofErr w:type="spellStart"/>
      <w:r w:rsidRPr="00B87865">
        <w:t>ErrorLogs</w:t>
      </w:r>
      <w:proofErr w:type="spellEnd"/>
      <w:r w:rsidRPr="00B87865">
        <w:t xml:space="preserve"> field</w:t>
      </w:r>
    </w:p>
    <w:p w14:paraId="41202143" w14:textId="77777777" w:rsidR="00BD773F" w:rsidRPr="00BD773F" w:rsidRDefault="00BD773F" w:rsidP="00BD773F">
      <w:pPr>
        <w:pStyle w:val="Paragraph"/>
      </w:pPr>
    </w:p>
    <w:p w14:paraId="5D40AB68" w14:textId="0D2858C4" w:rsidR="00756097" w:rsidRDefault="00F021A3" w:rsidP="00756097">
      <w:pPr>
        <w:pStyle w:val="Paragraph"/>
      </w:pPr>
      <w:r w:rsidRPr="00F021A3">
        <w:t xml:space="preserve">When the policy was evaluated at runtime, the system correctly enforced both duties. Figure </w:t>
      </w:r>
      <w:r w:rsidR="006451F0">
        <w:t>4</w:t>
      </w:r>
      <w:r w:rsidRPr="00F021A3">
        <w:t xml:space="preserve"> presents a representative snapshot of a single asset record before and after anonymization</w:t>
      </w:r>
      <w:r w:rsidR="00237CCB">
        <w:t>.</w:t>
      </w:r>
    </w:p>
    <w:p w14:paraId="1B67499D" w14:textId="77777777" w:rsidR="00237CCB" w:rsidRDefault="00237CCB" w:rsidP="00237CCB">
      <w:pPr>
        <w:pStyle w:val="Paragraph"/>
      </w:pPr>
      <w:r w:rsidRPr="00F021A3">
        <w:t>To illustrate the full impact of the enforcement process across all six records, Table 1 summarizes how each record was handled based on its field values.</w:t>
      </w:r>
    </w:p>
    <w:p w14:paraId="7BAF9EAD" w14:textId="77777777" w:rsidR="00237CCB" w:rsidRDefault="00237CCB" w:rsidP="00756097">
      <w:pPr>
        <w:pStyle w:val="Paragraph"/>
      </w:pPr>
    </w:p>
    <w:p w14:paraId="20924839" w14:textId="22C18FF4" w:rsidR="00631F32" w:rsidRDefault="00F021A3" w:rsidP="00F021A3">
      <w:pPr>
        <w:pStyle w:val="Heading2"/>
      </w:pPr>
      <w:r w:rsidRPr="0001112B">
        <w:rPr>
          <w:noProof/>
        </w:rPr>
        <w:lastRenderedPageBreak/>
        <w:drawing>
          <wp:inline distT="0" distB="0" distL="0" distR="0" wp14:anchorId="76BC5502" wp14:editId="2213DE12">
            <wp:extent cx="4910667" cy="1010306"/>
            <wp:effectExtent l="0" t="0" r="4445" b="5715"/>
            <wp:docPr id="208873818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738189" name="Picture 1" descr="A screenshot of a computer&#10;&#10;AI-generated content may be incorrect."/>
                    <pic:cNvPicPr/>
                  </pic:nvPicPr>
                  <pic:blipFill>
                    <a:blip r:embed="rId12"/>
                    <a:stretch>
                      <a:fillRect/>
                    </a:stretch>
                  </pic:blipFill>
                  <pic:spPr>
                    <a:xfrm>
                      <a:off x="0" y="0"/>
                      <a:ext cx="5070879" cy="1043268"/>
                    </a:xfrm>
                    <a:prstGeom prst="rect">
                      <a:avLst/>
                    </a:prstGeom>
                  </pic:spPr>
                </pic:pic>
              </a:graphicData>
            </a:graphic>
          </wp:inline>
        </w:drawing>
      </w:r>
    </w:p>
    <w:p w14:paraId="385473C7" w14:textId="44AE3958" w:rsidR="00F021A3" w:rsidRDefault="00F021A3" w:rsidP="00BD773F">
      <w:pPr>
        <w:pStyle w:val="FigureCaption"/>
        <w:spacing w:before="0"/>
      </w:pPr>
      <w:r w:rsidRPr="00F021A3">
        <w:rPr>
          <w:b/>
          <w:bCs/>
        </w:rPr>
        <w:t>F</w:t>
      </w:r>
      <w:r>
        <w:rPr>
          <w:b/>
          <w:bCs/>
        </w:rPr>
        <w:t>IGURE</w:t>
      </w:r>
      <w:r w:rsidRPr="00F021A3">
        <w:rPr>
          <w:b/>
          <w:bCs/>
        </w:rPr>
        <w:t xml:space="preserve"> </w:t>
      </w:r>
      <w:r w:rsidR="006451F0">
        <w:rPr>
          <w:b/>
          <w:bCs/>
        </w:rPr>
        <w:t>4</w:t>
      </w:r>
      <w:r w:rsidRPr="00F021A3">
        <w:rPr>
          <w:b/>
          <w:bCs/>
        </w:rPr>
        <w:t>.</w:t>
      </w:r>
      <w:r w:rsidRPr="00F021A3">
        <w:t xml:space="preserve"> JSON data before and after enforcement showing anonymization of the Operator field</w:t>
      </w:r>
    </w:p>
    <w:p w14:paraId="33A6BA1D" w14:textId="77777777" w:rsidR="00F021A3" w:rsidRPr="00F021A3" w:rsidRDefault="00F021A3" w:rsidP="00F021A3">
      <w:pPr>
        <w:pStyle w:val="Paragraph"/>
      </w:pPr>
    </w:p>
    <w:p w14:paraId="6F11B3EF" w14:textId="6ADACEFD" w:rsidR="00F021A3" w:rsidRPr="00F021A3" w:rsidRDefault="00F021A3" w:rsidP="00F021A3">
      <w:pPr>
        <w:pStyle w:val="TableCaption"/>
      </w:pPr>
      <w:r w:rsidRPr="00F021A3">
        <w:rPr>
          <w:b/>
          <w:bCs/>
        </w:rPr>
        <w:t>TABLE 1.</w:t>
      </w:r>
      <w:r w:rsidRPr="00F021A3">
        <w:t xml:space="preserve"> Summary of policy enforcement effect across asset records</w:t>
      </w:r>
    </w:p>
    <w:tbl>
      <w:tblPr>
        <w:tblW w:w="9360" w:type="dxa"/>
        <w:jc w:val="center"/>
        <w:tblBorders>
          <w:top w:val="single" w:sz="4" w:space="0" w:color="auto"/>
          <w:bottom w:val="single" w:sz="4" w:space="0" w:color="auto"/>
        </w:tblBorders>
        <w:tblLayout w:type="fixed"/>
        <w:tblLook w:val="0000" w:firstRow="0" w:lastRow="0" w:firstColumn="0" w:lastColumn="0" w:noHBand="0" w:noVBand="0"/>
      </w:tblPr>
      <w:tblGrid>
        <w:gridCol w:w="1890"/>
        <w:gridCol w:w="2119"/>
        <w:gridCol w:w="2381"/>
        <w:gridCol w:w="2970"/>
      </w:tblGrid>
      <w:tr w:rsidR="00F021A3" w:rsidRPr="00075EA6" w14:paraId="1E279192" w14:textId="77777777" w:rsidTr="00237CCB">
        <w:trPr>
          <w:cantSplit/>
          <w:trHeight w:val="272"/>
          <w:jc w:val="center"/>
        </w:trPr>
        <w:tc>
          <w:tcPr>
            <w:tcW w:w="1890" w:type="dxa"/>
            <w:tcBorders>
              <w:top w:val="single" w:sz="4" w:space="0" w:color="auto"/>
              <w:bottom w:val="single" w:sz="4" w:space="0" w:color="auto"/>
            </w:tcBorders>
          </w:tcPr>
          <w:p w14:paraId="4A4B49B0" w14:textId="15F1CAE4" w:rsidR="00F021A3" w:rsidRPr="00075EA6" w:rsidRDefault="00F021A3" w:rsidP="00F021A3">
            <w:pPr>
              <w:jc w:val="center"/>
              <w:rPr>
                <w:b/>
                <w:sz w:val="18"/>
                <w:szCs w:val="18"/>
              </w:rPr>
            </w:pPr>
            <w:r w:rsidRPr="00F021A3">
              <w:rPr>
                <w:b/>
                <w:sz w:val="18"/>
                <w:szCs w:val="18"/>
              </w:rPr>
              <w:t>Machine ID</w:t>
            </w:r>
          </w:p>
        </w:tc>
        <w:tc>
          <w:tcPr>
            <w:tcW w:w="2119" w:type="dxa"/>
            <w:tcBorders>
              <w:top w:val="single" w:sz="4" w:space="0" w:color="auto"/>
              <w:bottom w:val="single" w:sz="4" w:space="0" w:color="auto"/>
            </w:tcBorders>
            <w:vAlign w:val="center"/>
          </w:tcPr>
          <w:p w14:paraId="57EBA5C3" w14:textId="59F73C04" w:rsidR="00F021A3" w:rsidRPr="00075EA6" w:rsidRDefault="00F021A3" w:rsidP="00F021A3">
            <w:pPr>
              <w:jc w:val="center"/>
            </w:pPr>
            <w:r>
              <w:rPr>
                <w:b/>
                <w:sz w:val="18"/>
                <w:szCs w:val="18"/>
              </w:rPr>
              <w:t>Operator</w:t>
            </w:r>
          </w:p>
        </w:tc>
        <w:tc>
          <w:tcPr>
            <w:tcW w:w="2381" w:type="dxa"/>
            <w:tcBorders>
              <w:top w:val="single" w:sz="4" w:space="0" w:color="auto"/>
              <w:bottom w:val="single" w:sz="4" w:space="0" w:color="auto"/>
            </w:tcBorders>
            <w:vAlign w:val="center"/>
          </w:tcPr>
          <w:p w14:paraId="0642FD77" w14:textId="240049A5" w:rsidR="00F021A3" w:rsidRPr="00075EA6" w:rsidRDefault="008566E2" w:rsidP="00F021A3">
            <w:pPr>
              <w:jc w:val="center"/>
              <w:rPr>
                <w:b/>
                <w:sz w:val="18"/>
                <w:szCs w:val="18"/>
              </w:rPr>
            </w:pPr>
            <w:r>
              <w:rPr>
                <w:b/>
                <w:sz w:val="18"/>
                <w:szCs w:val="18"/>
              </w:rPr>
              <w:t>ErrorLogs</w:t>
            </w:r>
          </w:p>
        </w:tc>
        <w:tc>
          <w:tcPr>
            <w:tcW w:w="2970" w:type="dxa"/>
            <w:tcBorders>
              <w:top w:val="single" w:sz="4" w:space="0" w:color="auto"/>
              <w:bottom w:val="single" w:sz="4" w:space="0" w:color="auto"/>
            </w:tcBorders>
            <w:vAlign w:val="center"/>
          </w:tcPr>
          <w:p w14:paraId="5302669E" w14:textId="5BAF645D" w:rsidR="00F021A3" w:rsidRPr="00075EA6" w:rsidRDefault="008566E2" w:rsidP="00F021A3">
            <w:pPr>
              <w:jc w:val="center"/>
              <w:rPr>
                <w:b/>
                <w:sz w:val="18"/>
                <w:szCs w:val="18"/>
              </w:rPr>
            </w:pPr>
            <w:r>
              <w:rPr>
                <w:b/>
                <w:sz w:val="18"/>
                <w:szCs w:val="18"/>
              </w:rPr>
              <w:t>Enforcement Results</w:t>
            </w:r>
          </w:p>
        </w:tc>
      </w:tr>
      <w:tr w:rsidR="00F021A3" w:rsidRPr="005A0E21" w14:paraId="6507776A" w14:textId="77777777" w:rsidTr="00237CCB">
        <w:trPr>
          <w:cantSplit/>
          <w:jc w:val="center"/>
        </w:trPr>
        <w:tc>
          <w:tcPr>
            <w:tcW w:w="1890" w:type="dxa"/>
            <w:tcBorders>
              <w:top w:val="single" w:sz="4" w:space="0" w:color="auto"/>
            </w:tcBorders>
          </w:tcPr>
          <w:p w14:paraId="2BB68BE8" w14:textId="78014DDD" w:rsidR="00F021A3" w:rsidRPr="005A0E21" w:rsidRDefault="00F021A3" w:rsidP="00F021A3">
            <w:pPr>
              <w:pStyle w:val="Paragraph"/>
            </w:pPr>
            <w:r>
              <w:rPr>
                <w:szCs w:val="24"/>
              </w:rPr>
              <w:t>MCH001</w:t>
            </w:r>
          </w:p>
        </w:tc>
        <w:tc>
          <w:tcPr>
            <w:tcW w:w="2119" w:type="dxa"/>
            <w:tcBorders>
              <w:top w:val="single" w:sz="4" w:space="0" w:color="auto"/>
            </w:tcBorders>
          </w:tcPr>
          <w:p w14:paraId="6F083D2B" w14:textId="3682139D" w:rsidR="00F021A3" w:rsidRPr="005A0E21" w:rsidRDefault="008566E2" w:rsidP="00F021A3">
            <w:pPr>
              <w:pStyle w:val="Paragraph"/>
            </w:pPr>
            <w:r>
              <w:t>John</w:t>
            </w:r>
          </w:p>
        </w:tc>
        <w:tc>
          <w:tcPr>
            <w:tcW w:w="2381" w:type="dxa"/>
            <w:tcBorders>
              <w:top w:val="single" w:sz="4" w:space="0" w:color="auto"/>
            </w:tcBorders>
          </w:tcPr>
          <w:p w14:paraId="2A1F7E21" w14:textId="4A44BF0B" w:rsidR="00F021A3" w:rsidRPr="005A0E21" w:rsidRDefault="008566E2" w:rsidP="00F021A3">
            <w:pPr>
              <w:jc w:val="center"/>
              <w:rPr>
                <w:sz w:val="20"/>
              </w:rPr>
            </w:pPr>
            <w:r>
              <w:rPr>
                <w:sz w:val="20"/>
              </w:rPr>
              <w:t>Normal</w:t>
            </w:r>
          </w:p>
        </w:tc>
        <w:tc>
          <w:tcPr>
            <w:tcW w:w="2970" w:type="dxa"/>
            <w:tcBorders>
              <w:top w:val="single" w:sz="4" w:space="0" w:color="auto"/>
            </w:tcBorders>
          </w:tcPr>
          <w:p w14:paraId="153673DC" w14:textId="02BF356E" w:rsidR="00F021A3" w:rsidRPr="005A0E21" w:rsidRDefault="008566E2" w:rsidP="00F021A3">
            <w:pPr>
              <w:jc w:val="center"/>
              <w:rPr>
                <w:sz w:val="20"/>
              </w:rPr>
            </w:pPr>
            <w:r>
              <w:rPr>
                <w:sz w:val="20"/>
              </w:rPr>
              <w:t>Operator Anonymized</w:t>
            </w:r>
          </w:p>
        </w:tc>
      </w:tr>
      <w:tr w:rsidR="00F021A3" w:rsidRPr="005A0E21" w14:paraId="66481BB1" w14:textId="77777777" w:rsidTr="00237CCB">
        <w:trPr>
          <w:cantSplit/>
          <w:jc w:val="center"/>
        </w:trPr>
        <w:tc>
          <w:tcPr>
            <w:tcW w:w="1890" w:type="dxa"/>
          </w:tcPr>
          <w:p w14:paraId="5676BA72" w14:textId="65150A99" w:rsidR="00F021A3" w:rsidRPr="005A0E21" w:rsidRDefault="00F021A3" w:rsidP="00F021A3">
            <w:pPr>
              <w:pStyle w:val="Paragraph"/>
            </w:pPr>
            <w:r>
              <w:rPr>
                <w:szCs w:val="24"/>
              </w:rPr>
              <w:t>MCH002</w:t>
            </w:r>
          </w:p>
        </w:tc>
        <w:tc>
          <w:tcPr>
            <w:tcW w:w="2119" w:type="dxa"/>
          </w:tcPr>
          <w:p w14:paraId="6A7D1C0F" w14:textId="4E4A3D0E" w:rsidR="00F021A3" w:rsidRPr="005A0E21" w:rsidRDefault="008566E2" w:rsidP="00F021A3">
            <w:pPr>
              <w:pStyle w:val="Paragraph"/>
            </w:pPr>
            <w:r>
              <w:t>Alice</w:t>
            </w:r>
          </w:p>
        </w:tc>
        <w:tc>
          <w:tcPr>
            <w:tcW w:w="2381" w:type="dxa"/>
          </w:tcPr>
          <w:p w14:paraId="5CAA63A2" w14:textId="72202FCC" w:rsidR="00F021A3" w:rsidRPr="005A0E21" w:rsidRDefault="008566E2" w:rsidP="00F021A3">
            <w:pPr>
              <w:jc w:val="center"/>
              <w:rPr>
                <w:sz w:val="20"/>
              </w:rPr>
            </w:pPr>
            <w:r>
              <w:rPr>
                <w:sz w:val="20"/>
              </w:rPr>
              <w:t>Critical Error</w:t>
            </w:r>
          </w:p>
        </w:tc>
        <w:tc>
          <w:tcPr>
            <w:tcW w:w="2970" w:type="dxa"/>
          </w:tcPr>
          <w:p w14:paraId="0FBD252E" w14:textId="5D1EFBEA" w:rsidR="00F021A3" w:rsidRPr="005A0E21" w:rsidRDefault="008566E2" w:rsidP="00F021A3">
            <w:pPr>
              <w:jc w:val="center"/>
              <w:rPr>
                <w:sz w:val="20"/>
              </w:rPr>
            </w:pPr>
            <w:r>
              <w:rPr>
                <w:sz w:val="20"/>
              </w:rPr>
              <w:t>Record Excluded</w:t>
            </w:r>
          </w:p>
        </w:tc>
      </w:tr>
      <w:tr w:rsidR="00F021A3" w:rsidRPr="005A0E21" w14:paraId="4005EB07" w14:textId="77777777" w:rsidTr="00237CCB">
        <w:trPr>
          <w:cantSplit/>
          <w:trHeight w:val="237"/>
          <w:jc w:val="center"/>
        </w:trPr>
        <w:tc>
          <w:tcPr>
            <w:tcW w:w="1890" w:type="dxa"/>
          </w:tcPr>
          <w:p w14:paraId="3708CBA4" w14:textId="73447E66" w:rsidR="00F021A3" w:rsidRPr="005A0E21" w:rsidRDefault="00F021A3" w:rsidP="00F021A3">
            <w:pPr>
              <w:pStyle w:val="Paragraph"/>
            </w:pPr>
            <w:r>
              <w:rPr>
                <w:szCs w:val="24"/>
              </w:rPr>
              <w:t>MCH003</w:t>
            </w:r>
          </w:p>
        </w:tc>
        <w:tc>
          <w:tcPr>
            <w:tcW w:w="2119" w:type="dxa"/>
          </w:tcPr>
          <w:p w14:paraId="775B482A" w14:textId="2EC9639C" w:rsidR="00F021A3" w:rsidRPr="005A0E21" w:rsidRDefault="008566E2" w:rsidP="00F021A3">
            <w:pPr>
              <w:pStyle w:val="Paragraph"/>
            </w:pPr>
            <w:r>
              <w:t>Sarah</w:t>
            </w:r>
          </w:p>
        </w:tc>
        <w:tc>
          <w:tcPr>
            <w:tcW w:w="2381" w:type="dxa"/>
          </w:tcPr>
          <w:p w14:paraId="03EC5E8F" w14:textId="753CF4C7" w:rsidR="00F021A3" w:rsidRPr="005A0E21" w:rsidRDefault="008566E2" w:rsidP="00F021A3">
            <w:pPr>
              <w:jc w:val="center"/>
              <w:rPr>
                <w:sz w:val="20"/>
              </w:rPr>
            </w:pPr>
            <w:r>
              <w:rPr>
                <w:sz w:val="20"/>
              </w:rPr>
              <w:t>Warning</w:t>
            </w:r>
          </w:p>
        </w:tc>
        <w:tc>
          <w:tcPr>
            <w:tcW w:w="2970" w:type="dxa"/>
          </w:tcPr>
          <w:p w14:paraId="1DF44BA0" w14:textId="78E111A7" w:rsidR="00F021A3" w:rsidRPr="005A0E21" w:rsidRDefault="008566E2" w:rsidP="00F021A3">
            <w:pPr>
              <w:jc w:val="center"/>
              <w:rPr>
                <w:sz w:val="20"/>
              </w:rPr>
            </w:pPr>
            <w:r>
              <w:rPr>
                <w:sz w:val="20"/>
              </w:rPr>
              <w:t>Operator Anonymized</w:t>
            </w:r>
          </w:p>
        </w:tc>
      </w:tr>
      <w:tr w:rsidR="008566E2" w:rsidRPr="005A0E21" w14:paraId="455E6547" w14:textId="77777777" w:rsidTr="00237CCB">
        <w:trPr>
          <w:cantSplit/>
          <w:trHeight w:val="237"/>
          <w:jc w:val="center"/>
        </w:trPr>
        <w:tc>
          <w:tcPr>
            <w:tcW w:w="1890" w:type="dxa"/>
          </w:tcPr>
          <w:p w14:paraId="4C29712C" w14:textId="0E74980D" w:rsidR="008566E2" w:rsidRDefault="008566E2" w:rsidP="00F021A3">
            <w:pPr>
              <w:pStyle w:val="Paragraph"/>
              <w:rPr>
                <w:szCs w:val="24"/>
              </w:rPr>
            </w:pPr>
            <w:r>
              <w:rPr>
                <w:szCs w:val="24"/>
              </w:rPr>
              <w:t>MCH004</w:t>
            </w:r>
          </w:p>
        </w:tc>
        <w:tc>
          <w:tcPr>
            <w:tcW w:w="2119" w:type="dxa"/>
          </w:tcPr>
          <w:p w14:paraId="6CE7935A" w14:textId="1D9E3F7A" w:rsidR="008566E2" w:rsidRDefault="008566E2" w:rsidP="00F021A3">
            <w:pPr>
              <w:pStyle w:val="Paragraph"/>
            </w:pPr>
            <w:r>
              <w:t>David</w:t>
            </w:r>
          </w:p>
        </w:tc>
        <w:tc>
          <w:tcPr>
            <w:tcW w:w="2381" w:type="dxa"/>
          </w:tcPr>
          <w:p w14:paraId="0B0CD2E4" w14:textId="6934AE55" w:rsidR="008566E2" w:rsidRDefault="008566E2" w:rsidP="00F021A3">
            <w:pPr>
              <w:jc w:val="center"/>
              <w:rPr>
                <w:sz w:val="20"/>
              </w:rPr>
            </w:pPr>
            <w:r>
              <w:rPr>
                <w:sz w:val="20"/>
              </w:rPr>
              <w:t>Normal</w:t>
            </w:r>
          </w:p>
        </w:tc>
        <w:tc>
          <w:tcPr>
            <w:tcW w:w="2970" w:type="dxa"/>
          </w:tcPr>
          <w:p w14:paraId="06033D96" w14:textId="5D0650B1" w:rsidR="008566E2" w:rsidRPr="005A0E21" w:rsidRDefault="008566E2" w:rsidP="00F021A3">
            <w:pPr>
              <w:jc w:val="center"/>
              <w:rPr>
                <w:sz w:val="20"/>
              </w:rPr>
            </w:pPr>
            <w:r>
              <w:rPr>
                <w:sz w:val="20"/>
              </w:rPr>
              <w:t>Operator Anonymized</w:t>
            </w:r>
          </w:p>
        </w:tc>
      </w:tr>
      <w:tr w:rsidR="008566E2" w:rsidRPr="005A0E21" w14:paraId="3724475F" w14:textId="77777777" w:rsidTr="00237CCB">
        <w:trPr>
          <w:cantSplit/>
          <w:trHeight w:val="237"/>
          <w:jc w:val="center"/>
        </w:trPr>
        <w:tc>
          <w:tcPr>
            <w:tcW w:w="1890" w:type="dxa"/>
          </w:tcPr>
          <w:p w14:paraId="766F6399" w14:textId="6FDCD292" w:rsidR="008566E2" w:rsidRDefault="008566E2" w:rsidP="00F021A3">
            <w:pPr>
              <w:pStyle w:val="Paragraph"/>
              <w:rPr>
                <w:szCs w:val="24"/>
              </w:rPr>
            </w:pPr>
            <w:r>
              <w:rPr>
                <w:szCs w:val="24"/>
              </w:rPr>
              <w:t>MCH005</w:t>
            </w:r>
          </w:p>
        </w:tc>
        <w:tc>
          <w:tcPr>
            <w:tcW w:w="2119" w:type="dxa"/>
          </w:tcPr>
          <w:p w14:paraId="2A4CCDDC" w14:textId="3ABFBBB7" w:rsidR="008566E2" w:rsidRDefault="008566E2" w:rsidP="00F021A3">
            <w:pPr>
              <w:pStyle w:val="Paragraph"/>
            </w:pPr>
            <w:r>
              <w:t>Claire</w:t>
            </w:r>
          </w:p>
        </w:tc>
        <w:tc>
          <w:tcPr>
            <w:tcW w:w="2381" w:type="dxa"/>
          </w:tcPr>
          <w:p w14:paraId="5F822C57" w14:textId="1372FF06" w:rsidR="008566E2" w:rsidRDefault="008566E2" w:rsidP="00F021A3">
            <w:pPr>
              <w:jc w:val="center"/>
              <w:rPr>
                <w:sz w:val="20"/>
              </w:rPr>
            </w:pPr>
            <w:r>
              <w:rPr>
                <w:sz w:val="20"/>
              </w:rPr>
              <w:t>Normal</w:t>
            </w:r>
          </w:p>
        </w:tc>
        <w:tc>
          <w:tcPr>
            <w:tcW w:w="2970" w:type="dxa"/>
          </w:tcPr>
          <w:p w14:paraId="1FEBE105" w14:textId="33266C71" w:rsidR="008566E2" w:rsidRPr="005A0E21" w:rsidRDefault="008566E2" w:rsidP="00F021A3">
            <w:pPr>
              <w:jc w:val="center"/>
              <w:rPr>
                <w:sz w:val="20"/>
              </w:rPr>
            </w:pPr>
            <w:r>
              <w:rPr>
                <w:sz w:val="20"/>
              </w:rPr>
              <w:t>Operator Anonymized</w:t>
            </w:r>
          </w:p>
        </w:tc>
      </w:tr>
      <w:tr w:rsidR="008566E2" w:rsidRPr="005A0E21" w14:paraId="41024B18" w14:textId="77777777" w:rsidTr="00237CCB">
        <w:trPr>
          <w:cantSplit/>
          <w:trHeight w:val="237"/>
          <w:jc w:val="center"/>
        </w:trPr>
        <w:tc>
          <w:tcPr>
            <w:tcW w:w="1890" w:type="dxa"/>
          </w:tcPr>
          <w:p w14:paraId="76563DB2" w14:textId="2B1D3785" w:rsidR="008566E2" w:rsidRDefault="008566E2" w:rsidP="00F021A3">
            <w:pPr>
              <w:pStyle w:val="Paragraph"/>
              <w:rPr>
                <w:szCs w:val="24"/>
              </w:rPr>
            </w:pPr>
            <w:r>
              <w:rPr>
                <w:szCs w:val="24"/>
              </w:rPr>
              <w:t>MCH006</w:t>
            </w:r>
          </w:p>
        </w:tc>
        <w:tc>
          <w:tcPr>
            <w:tcW w:w="2119" w:type="dxa"/>
          </w:tcPr>
          <w:p w14:paraId="6589BF03" w14:textId="58CA3283" w:rsidR="008566E2" w:rsidRDefault="008566E2" w:rsidP="00F021A3">
            <w:pPr>
              <w:pStyle w:val="Paragraph"/>
            </w:pPr>
            <w:r>
              <w:t>Mike</w:t>
            </w:r>
          </w:p>
        </w:tc>
        <w:tc>
          <w:tcPr>
            <w:tcW w:w="2381" w:type="dxa"/>
          </w:tcPr>
          <w:p w14:paraId="7071BEC3" w14:textId="614E1FB5" w:rsidR="008566E2" w:rsidRDefault="008566E2" w:rsidP="00F021A3">
            <w:pPr>
              <w:jc w:val="center"/>
              <w:rPr>
                <w:sz w:val="20"/>
              </w:rPr>
            </w:pPr>
            <w:r>
              <w:rPr>
                <w:sz w:val="20"/>
              </w:rPr>
              <w:t>Normal</w:t>
            </w:r>
          </w:p>
        </w:tc>
        <w:tc>
          <w:tcPr>
            <w:tcW w:w="2970" w:type="dxa"/>
          </w:tcPr>
          <w:p w14:paraId="56B03586" w14:textId="79F3C361" w:rsidR="008566E2" w:rsidRPr="005A0E21" w:rsidRDefault="008566E2" w:rsidP="00F021A3">
            <w:pPr>
              <w:jc w:val="center"/>
              <w:rPr>
                <w:sz w:val="20"/>
              </w:rPr>
            </w:pPr>
            <w:r>
              <w:rPr>
                <w:sz w:val="20"/>
              </w:rPr>
              <w:t>Operator Anonymized</w:t>
            </w:r>
          </w:p>
        </w:tc>
      </w:tr>
    </w:tbl>
    <w:p w14:paraId="68373199" w14:textId="77777777" w:rsidR="00F021A3" w:rsidRDefault="00F021A3" w:rsidP="00F021A3">
      <w:pPr>
        <w:pStyle w:val="Paragraph"/>
        <w:ind w:firstLine="0"/>
      </w:pPr>
    </w:p>
    <w:p w14:paraId="0B3CED8A" w14:textId="77777777" w:rsidR="00E77E9B" w:rsidRDefault="00E77E9B" w:rsidP="00E77E9B">
      <w:pPr>
        <w:pStyle w:val="Paragraph"/>
      </w:pPr>
      <w:r>
        <w:t xml:space="preserve">To evaluate the runtime performance of enforcement, 100 repeated requests were issued through both the Provider and Consumer pipelines, with and without usage control enabled. As shown in Figure 5, average latency for Provider requests increased modestly from 23.11 </w:t>
      </w:r>
      <w:proofErr w:type="spellStart"/>
      <w:r>
        <w:t>ms</w:t>
      </w:r>
      <w:proofErr w:type="spellEnd"/>
      <w:r>
        <w:t xml:space="preserve"> to 23.79 </w:t>
      </w:r>
      <w:proofErr w:type="spellStart"/>
      <w:r>
        <w:t>ms</w:t>
      </w:r>
      <w:proofErr w:type="spellEnd"/>
      <w:r>
        <w:t xml:space="preserve">, while Consumer-side requests increased from 1.63 </w:t>
      </w:r>
      <w:proofErr w:type="spellStart"/>
      <w:r>
        <w:t>ms</w:t>
      </w:r>
      <w:proofErr w:type="spellEnd"/>
      <w:r>
        <w:t xml:space="preserve"> to 3.02 </w:t>
      </w:r>
      <w:proofErr w:type="spellStart"/>
      <w:r>
        <w:t>ms.</w:t>
      </w:r>
      <w:proofErr w:type="spellEnd"/>
    </w:p>
    <w:p w14:paraId="57C15678" w14:textId="2BD7F6A0" w:rsidR="00E77E9B" w:rsidRDefault="00E77E9B" w:rsidP="00E77E9B">
      <w:pPr>
        <w:pStyle w:val="Heading2"/>
      </w:pPr>
      <w:r>
        <w:rPr>
          <w:noProof/>
        </w:rPr>
        <w:drawing>
          <wp:inline distT="0" distB="0" distL="0" distR="0" wp14:anchorId="633509C3" wp14:editId="66915238">
            <wp:extent cx="2695280" cy="3062087"/>
            <wp:effectExtent l="0" t="0" r="0" b="0"/>
            <wp:docPr id="1727499739" name="Picture 1"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499739" name="Picture 1" descr="A graph of different colored bars&#10;&#10;AI-generated content may be incorrect."/>
                    <pic:cNvPicPr/>
                  </pic:nvPicPr>
                  <pic:blipFill rotWithShape="1">
                    <a:blip r:embed="rId13">
                      <a:extLst>
                        <a:ext uri="{28A0092B-C50C-407E-A947-70E740481C1C}">
                          <a14:useLocalDpi xmlns:a14="http://schemas.microsoft.com/office/drawing/2010/main" val="0"/>
                        </a:ext>
                      </a:extLst>
                    </a:blip>
                    <a:srcRect b="4851"/>
                    <a:stretch>
                      <a:fillRect/>
                    </a:stretch>
                  </pic:blipFill>
                  <pic:spPr bwMode="auto">
                    <a:xfrm>
                      <a:off x="0" y="0"/>
                      <a:ext cx="2807228" cy="3189270"/>
                    </a:xfrm>
                    <a:prstGeom prst="rect">
                      <a:avLst/>
                    </a:prstGeom>
                    <a:ln>
                      <a:noFill/>
                    </a:ln>
                    <a:extLst>
                      <a:ext uri="{53640926-AAD7-44D8-BBD7-CCE9431645EC}">
                        <a14:shadowObscured xmlns:a14="http://schemas.microsoft.com/office/drawing/2010/main"/>
                      </a:ext>
                    </a:extLst>
                  </pic:spPr>
                </pic:pic>
              </a:graphicData>
            </a:graphic>
          </wp:inline>
        </w:drawing>
      </w:r>
    </w:p>
    <w:p w14:paraId="5A66AAE3" w14:textId="4EA0FB0C" w:rsidR="00E77E9B" w:rsidRDefault="00E77E9B" w:rsidP="00BD773F">
      <w:pPr>
        <w:pStyle w:val="Paragraph"/>
        <w:ind w:firstLine="288"/>
        <w:jc w:val="center"/>
        <w:rPr>
          <w:sz w:val="18"/>
          <w:szCs w:val="18"/>
        </w:rPr>
      </w:pPr>
      <w:r w:rsidRPr="000141E1">
        <w:rPr>
          <w:b/>
          <w:bCs/>
          <w:sz w:val="18"/>
          <w:szCs w:val="18"/>
        </w:rPr>
        <w:t>FIGURE 5.</w:t>
      </w:r>
      <w:r w:rsidRPr="000141E1">
        <w:rPr>
          <w:sz w:val="18"/>
          <w:szCs w:val="18"/>
        </w:rPr>
        <w:t xml:space="preserve"> Benchmark results comparing average response times for Provider and Consumer pipelines, with and without enforcement. Each result reflects 100 repeated request trials.</w:t>
      </w:r>
    </w:p>
    <w:p w14:paraId="2CDD4CA8" w14:textId="77777777" w:rsidR="000141E1" w:rsidRPr="000141E1" w:rsidRDefault="000141E1" w:rsidP="000141E1">
      <w:pPr>
        <w:pStyle w:val="Paragraph"/>
        <w:spacing w:before="120"/>
        <w:ind w:firstLine="288"/>
        <w:jc w:val="center"/>
        <w:rPr>
          <w:sz w:val="18"/>
          <w:szCs w:val="18"/>
        </w:rPr>
      </w:pPr>
    </w:p>
    <w:p w14:paraId="6B142347" w14:textId="09239F3F" w:rsidR="00F021A3" w:rsidRPr="00F021A3" w:rsidRDefault="00E77E9B" w:rsidP="00E77E9B">
      <w:pPr>
        <w:pStyle w:val="Paragraph"/>
      </w:pPr>
      <w:r>
        <w:t>These results confirm that the enforcement mechanism introduces only minor overhead. The consistency in measured error and standard deviation across trials further supports the system’s responsiveness and suitability for interactive or near-real-time industrial applications.</w:t>
      </w:r>
    </w:p>
    <w:p w14:paraId="0E41F852" w14:textId="77777777" w:rsidR="000207AD" w:rsidRDefault="000207AD" w:rsidP="000207AD">
      <w:pPr>
        <w:pStyle w:val="Heading2"/>
        <w:rPr>
          <w:sz w:val="36"/>
          <w:lang w:val="en-MY" w:eastAsia="ja-JP"/>
        </w:rPr>
      </w:pPr>
      <w:r>
        <w:lastRenderedPageBreak/>
        <w:t>Discussion</w:t>
      </w:r>
    </w:p>
    <w:p w14:paraId="3CFB481F" w14:textId="14E49732" w:rsidR="00E77E9B" w:rsidRDefault="00E77E9B" w:rsidP="00E77E9B">
      <w:pPr>
        <w:pStyle w:val="Paragraph"/>
      </w:pPr>
      <w:r>
        <w:t>The evaluation confirms that the tailored usage control patterns are enforced correctly and efficiently within the AssetHub pipeline. The system introduces minimal overhead while maintaining architectural modularity, making it suitable for responsive industrial data-sharing environments.</w:t>
      </w:r>
    </w:p>
    <w:p w14:paraId="2876EE13" w14:textId="65A5C5CE" w:rsidR="00E77E9B" w:rsidRDefault="00E77E9B" w:rsidP="00E77E9B">
      <w:pPr>
        <w:pStyle w:val="Paragraph"/>
      </w:pPr>
      <w:r>
        <w:t>The JSON-based PDL was selected for its readability, simplicity, and alignment with the underlying asset structure. This design favors lightweight integration and human-interpretable rules over complex semantic models such as XACML or RDF. However, this trade-off does limit expressiveness: the current system does not yet support nested conditions, temporal constraints, or purpose-bound policies. Future work will focus on extending the PDL to accommodate these features without sacrificing runtime efficiency.</w:t>
      </w:r>
    </w:p>
    <w:p w14:paraId="49839132" w14:textId="75980F56" w:rsidR="00BD5DBF" w:rsidRDefault="00E77E9B" w:rsidP="00E77E9B">
      <w:pPr>
        <w:pStyle w:val="Paragraph"/>
      </w:pPr>
      <w:r>
        <w:t>The present prototype was evaluated in a local deployment using single-threaded request simulations. Further testing under concurrent loads and distributed environments is needed to validate the system’s scalability. Additionally, runtime evaluator performance and potential bottlenecks under high-load scenarios remain open areas for investigation.</w:t>
      </w:r>
    </w:p>
    <w:p w14:paraId="3F50A6DE" w14:textId="1C4E622D" w:rsidR="00BD5DBF" w:rsidRPr="00BD5DBF" w:rsidRDefault="00BD5DBF" w:rsidP="00BD5DBF">
      <w:pPr>
        <w:pStyle w:val="Heading1"/>
        <w:rPr>
          <w:b w:val="0"/>
          <w:caps w:val="0"/>
          <w:sz w:val="20"/>
        </w:rPr>
      </w:pPr>
      <w:r>
        <w:rPr>
          <w:rFonts w:asciiTheme="majorBidi" w:hAnsiTheme="majorBidi" w:cstheme="majorBidi"/>
        </w:rPr>
        <w:t>CONCLUSION</w:t>
      </w:r>
    </w:p>
    <w:p w14:paraId="021BB07E" w14:textId="2F497ABA" w:rsidR="00F021A3" w:rsidRDefault="00F021A3" w:rsidP="00F021A3">
      <w:pPr>
        <w:pStyle w:val="Paragraph"/>
      </w:pPr>
      <w:r>
        <w:t xml:space="preserve">This paper presented a practical </w:t>
      </w:r>
      <w:r w:rsidR="0040752B">
        <w:t>DUC</w:t>
      </w:r>
      <w:r>
        <w:t xml:space="preserve"> mechanism integrated into AssetHub; a modular data-sharing platform inspired by the Asset Administration Shell. The proposed approach enables data providers to enforce post-access constraints on asset data at runtime, supporting industrial data sovereignty without disrupting upstream systems or requiring heavyweight infrastructure.</w:t>
      </w:r>
    </w:p>
    <w:p w14:paraId="0DE1FF5C" w14:textId="637A45C2" w:rsidR="00F021A3" w:rsidRDefault="00F021A3" w:rsidP="00F021A3">
      <w:pPr>
        <w:pStyle w:val="Paragraph"/>
      </w:pPr>
      <w:r>
        <w:t>The enforcement mechanism is driven by a lightweight, JSON-based policy language and supports two tailored patterns: field-level anonymization and conditional record exclusion. Evaluation results confirm that these policies are correctly interpreted and applied during live data requests, operating directly on asset instance data in response to contextual constraints.</w:t>
      </w:r>
    </w:p>
    <w:p w14:paraId="6AB6ED8F" w14:textId="320E23A5" w:rsidR="00BD5DBF" w:rsidRPr="00BD5DBF" w:rsidRDefault="00F021A3" w:rsidP="00F021A3">
      <w:pPr>
        <w:pStyle w:val="Paragraph"/>
      </w:pPr>
      <w:r>
        <w:t>By integrating enforcement at the request level, the mechanism preserves AssetHub’s decentralized and asset-centric design, ensuring compatibility with real-time industrial data-sharing workflows. Future work will focus on extending enforcement across distributed deployments, introducing richer policy types such as temporal or purpose-bound constraints, and evaluating integration with federated policy decision frameworks.</w:t>
      </w:r>
    </w:p>
    <w:p w14:paraId="6F6AA0A6" w14:textId="794B4366" w:rsidR="00BD5DBF" w:rsidRDefault="00BD5DBF" w:rsidP="00BD5DBF">
      <w:pPr>
        <w:pStyle w:val="Heading1"/>
        <w:rPr>
          <w:b w:val="0"/>
          <w:caps w:val="0"/>
          <w:sz w:val="20"/>
        </w:rPr>
      </w:pPr>
      <w:r w:rsidRPr="00075EA6">
        <w:rPr>
          <w:rFonts w:asciiTheme="majorBidi" w:hAnsiTheme="majorBidi" w:cstheme="majorBidi"/>
        </w:rPr>
        <w:t>References</w:t>
      </w:r>
    </w:p>
    <w:p w14:paraId="2E161EAE" w14:textId="77777777" w:rsidR="00C45A77" w:rsidRPr="00C45A77" w:rsidRDefault="00BD5DBF" w:rsidP="00C45A77">
      <w:pPr>
        <w:pStyle w:val="Reference"/>
        <w:rPr>
          <w:szCs w:val="24"/>
          <w:lang w:val="en-GB" w:eastAsia="en-GB"/>
        </w:rPr>
      </w:pPr>
      <w:r>
        <w:fldChar w:fldCharType="begin"/>
      </w:r>
      <w:r w:rsidR="00C45A77">
        <w:instrText xml:space="preserve"> ADDIN ZOTERO_BIBL {"uncited":[],"omitted":[],"custom":[[["http://zotero.org/users/16480661/items/YK26UMMF"],"J. Park, and R. Sandhu, \\uc0\\u8220{}The UCON\\sub ABC\\nosupersub{} usage control model,\\uc0\\u8221{} ACM Trans. Inf. Syst. Secur. {\\b{}7}(1), 128\\uc0\\u8211{}174 (2004)."],[["http://zotero.org/users/16480661/items/RICVE2QX"],"J.H. Hang, D.S. Charles, Z.H. Gan, S.K. Gan, Y.M. Lim, W.P. Lee, T.L. Wong, and C.P. Goh, \\uc0\\u8220{}Constructing a Real-Time Value-Chain Integration Architecture for Mass Individualized Juice Production,\\uc0\\u8221{} Information {\\b{}13}(2), 56 (2022)."],[["http://zotero.org/users/16480661/items/KV4M99DD"],"F. Zezulka, P. Marcon, I. Vesely, and O. Sajdl, \\uc0\\u8220{}Industry 4.0 \\uc0\\u8211{} An Introduction in the phenomenon,\\uc0\\u8221{} IFAC-Pap. {\\b{}49}(25), 8\\uc0\\u8211{}12 (2016)."],[["http://zotero.org/users/16480661/items/5MCLGIKM"],"A.G. Frank, L.S. Dalenogare, and N.F. Ayala, \\uc0\\u8220{}Industry 4.0 technologies: Implementation patterns in manufacturing companies,\\uc0\\u8221{} Int. J. Prod. Econ. {\\b{}210}, 15\\uc0\\u8211{}26 (2019)."],[["http://zotero.org/users/16480661/items/PFMJZTMP"],"T.F.J.-M. Pasquier, J. Singh, D. Eyers, and J. Bacon, \\uc0\\u8220{}CamFlow: Managed Data-sharing for Cloud Services,\\uc0\\u8221{} IEEE Trans. Cloud Comput. {\\b{}5}(3), 472\\uc0\\u8211{}484 (2017)."],[["http://zotero.org/users/16480661/items/6RMQTEKT"],"J. Schuette, and G.S. Brost, \\uc0\\u8220{}LUCON: Data Flow Control for Message-Based IoT Systems,\\uc0\\u8221{} in {\\i{}2018 17th IEEE Int. Conf. Trust Secur. Priv. Comput. Commun. 12th IEEE Int. Conf. Big Data Sci. Eng. Trust.}, (IEEE, New York, NY, USA, 2018), pp. 289\\uc0\\u8211{}299."],[["http://zotero.org/users/16480661/items/UZZ58FZ6"],"A. Eitel et al., \\uc0\\u8220{}Usage Control in the International Data Spaces,\\uc0\\u8221{} {\\i{}IDS Association White Paper}, 2021."],[["http://zotero.org/users/16480661/items/9ITS42GE"],"F. Martinelli, O. Osliak, P. Mori, and A. Saracino, \\uc0\\u8220{}Improving security in industry 4.0 by extending OPC-UA with usage control,\\uc0\\u8221{} in {\\i{}Proc. 15th Int. Conf. Availab. Reliab. Secur.}, (ACM, Virtual Event Ireland, 2020), pp. 1\\uc0\\u8211{}10."]]} CSL_BIBLIOGRAPHY </w:instrText>
      </w:r>
      <w:r>
        <w:fldChar w:fldCharType="separate"/>
      </w:r>
      <w:r w:rsidR="00C45A77" w:rsidRPr="00C45A77">
        <w:rPr>
          <w:szCs w:val="24"/>
          <w:lang w:val="en-GB" w:eastAsia="en-GB"/>
        </w:rPr>
        <w:t xml:space="preserve">A. Eitel et al., “Usage Control in the International Data Spaces,” </w:t>
      </w:r>
      <w:r w:rsidR="00C45A77" w:rsidRPr="00C45A77">
        <w:rPr>
          <w:i/>
          <w:iCs/>
          <w:szCs w:val="24"/>
          <w:lang w:val="en-GB" w:eastAsia="en-GB"/>
        </w:rPr>
        <w:t>IDS Association White Paper</w:t>
      </w:r>
      <w:r w:rsidR="00C45A77" w:rsidRPr="00C45A77">
        <w:rPr>
          <w:szCs w:val="24"/>
          <w:lang w:val="en-GB" w:eastAsia="en-GB"/>
        </w:rPr>
        <w:t>, 2021.</w:t>
      </w:r>
    </w:p>
    <w:p w14:paraId="21A3D5E6" w14:textId="77777777" w:rsidR="00C45A77" w:rsidRPr="00C45A77" w:rsidRDefault="00C45A77" w:rsidP="00C45A77">
      <w:pPr>
        <w:pStyle w:val="Reference"/>
        <w:rPr>
          <w:szCs w:val="24"/>
          <w:lang w:val="en-GB" w:eastAsia="en-GB"/>
        </w:rPr>
      </w:pPr>
      <w:r w:rsidRPr="00C45A77">
        <w:rPr>
          <w:szCs w:val="24"/>
          <w:lang w:val="en-GB" w:eastAsia="en-GB"/>
        </w:rPr>
        <w:t xml:space="preserve">F. Zezulka, P. Marcon, I. Vesely, and O. Sajdl, “Industry 4.0 – An Introduction in the phenomenon,” IFAC-Pap. </w:t>
      </w:r>
      <w:r w:rsidRPr="00C45A77">
        <w:rPr>
          <w:b/>
          <w:bCs/>
          <w:szCs w:val="24"/>
          <w:lang w:val="en-GB" w:eastAsia="en-GB"/>
        </w:rPr>
        <w:t>49</w:t>
      </w:r>
      <w:r w:rsidRPr="00C45A77">
        <w:rPr>
          <w:szCs w:val="24"/>
          <w:lang w:val="en-GB" w:eastAsia="en-GB"/>
        </w:rPr>
        <w:t>(25), 8–12 (2016).</w:t>
      </w:r>
    </w:p>
    <w:p w14:paraId="2551A67B" w14:textId="77777777" w:rsidR="00C45A77" w:rsidRPr="00C45A77" w:rsidRDefault="00C45A77" w:rsidP="00C45A77">
      <w:pPr>
        <w:pStyle w:val="Reference"/>
        <w:rPr>
          <w:szCs w:val="24"/>
          <w:lang w:val="en-GB" w:eastAsia="en-GB"/>
        </w:rPr>
      </w:pPr>
      <w:r w:rsidRPr="00C45A77">
        <w:rPr>
          <w:szCs w:val="24"/>
          <w:lang w:val="en-GB" w:eastAsia="en-GB"/>
        </w:rPr>
        <w:t xml:space="preserve">A.G. Frank, L.S. Dalenogare, and N.F. Ayala, “Industry 4.0 technologies: Implementation patterns in manufacturing companies,” Int. J. Prod. Econ. </w:t>
      </w:r>
      <w:r w:rsidRPr="00C45A77">
        <w:rPr>
          <w:b/>
          <w:bCs/>
          <w:szCs w:val="24"/>
          <w:lang w:val="en-GB" w:eastAsia="en-GB"/>
        </w:rPr>
        <w:t>210</w:t>
      </w:r>
      <w:r w:rsidRPr="00C45A77">
        <w:rPr>
          <w:szCs w:val="24"/>
          <w:lang w:val="en-GB" w:eastAsia="en-GB"/>
        </w:rPr>
        <w:t>, 15–26 (2019).</w:t>
      </w:r>
    </w:p>
    <w:p w14:paraId="486C92ED" w14:textId="77777777" w:rsidR="00C45A77" w:rsidRPr="00C45A77" w:rsidRDefault="00C45A77" w:rsidP="00C45A77">
      <w:pPr>
        <w:pStyle w:val="Reference"/>
        <w:rPr>
          <w:szCs w:val="24"/>
          <w:lang w:val="en-GB" w:eastAsia="en-GB"/>
        </w:rPr>
      </w:pPr>
      <w:r w:rsidRPr="00C45A77">
        <w:rPr>
          <w:szCs w:val="24"/>
          <w:lang w:val="en-GB" w:eastAsia="en-GB"/>
        </w:rPr>
        <w:t xml:space="preserve">J.H. Hang, D.S. Charles, Z.H. Gan, S.K. Gan, Y.M. Lim, W.P. Lee, T.L. Wong, and C.P. Goh, “Constructing a Real-Time Value-Chain Integration Architecture for Mass Individualized Juice Production,” Information </w:t>
      </w:r>
      <w:r w:rsidRPr="00C45A77">
        <w:rPr>
          <w:b/>
          <w:bCs/>
          <w:szCs w:val="24"/>
          <w:lang w:val="en-GB" w:eastAsia="en-GB"/>
        </w:rPr>
        <w:t>13</w:t>
      </w:r>
      <w:r w:rsidRPr="00C45A77">
        <w:rPr>
          <w:szCs w:val="24"/>
          <w:lang w:val="en-GB" w:eastAsia="en-GB"/>
        </w:rPr>
        <w:t>(2), 56 (2022).</w:t>
      </w:r>
    </w:p>
    <w:p w14:paraId="084D6A90" w14:textId="77777777" w:rsidR="00C45A77" w:rsidRPr="00C45A77" w:rsidRDefault="00C45A77" w:rsidP="00C45A77">
      <w:pPr>
        <w:pStyle w:val="Reference"/>
        <w:rPr>
          <w:szCs w:val="24"/>
          <w:lang w:val="en-GB" w:eastAsia="en-GB"/>
        </w:rPr>
      </w:pPr>
      <w:r w:rsidRPr="00C45A77">
        <w:rPr>
          <w:szCs w:val="24"/>
          <w:lang w:val="en-GB" w:eastAsia="en-GB"/>
        </w:rPr>
        <w:t>J. Park, and R. Sandhu, “The UCON</w:t>
      </w:r>
      <w:r w:rsidRPr="00C45A77">
        <w:rPr>
          <w:szCs w:val="24"/>
          <w:vertAlign w:val="subscript"/>
          <w:lang w:val="en-GB" w:eastAsia="en-GB"/>
        </w:rPr>
        <w:t>ABC</w:t>
      </w:r>
      <w:r w:rsidRPr="00C45A77">
        <w:rPr>
          <w:szCs w:val="24"/>
          <w:lang w:val="en-GB" w:eastAsia="en-GB"/>
        </w:rPr>
        <w:t xml:space="preserve"> usage control model,” ACM Trans. Inf. Syst. Secur. </w:t>
      </w:r>
      <w:r w:rsidRPr="00C45A77">
        <w:rPr>
          <w:b/>
          <w:bCs/>
          <w:szCs w:val="24"/>
          <w:lang w:val="en-GB" w:eastAsia="en-GB"/>
        </w:rPr>
        <w:t>7</w:t>
      </w:r>
      <w:r w:rsidRPr="00C45A77">
        <w:rPr>
          <w:szCs w:val="24"/>
          <w:lang w:val="en-GB" w:eastAsia="en-GB"/>
        </w:rPr>
        <w:t>(1), 128–174 (2004).</w:t>
      </w:r>
    </w:p>
    <w:p w14:paraId="1CFDCF56" w14:textId="77777777" w:rsidR="00C45A77" w:rsidRPr="00C45A77" w:rsidRDefault="00C45A77" w:rsidP="00C45A77">
      <w:pPr>
        <w:pStyle w:val="Reference"/>
        <w:rPr>
          <w:szCs w:val="24"/>
          <w:lang w:val="en-GB" w:eastAsia="en-GB"/>
        </w:rPr>
      </w:pPr>
      <w:r w:rsidRPr="00C45A77">
        <w:rPr>
          <w:szCs w:val="24"/>
          <w:lang w:val="en-GB" w:eastAsia="en-GB"/>
        </w:rPr>
        <w:t xml:space="preserve">J. Schuette, and G.S. Brost, “LUCON: Data Flow Control for Message-Based IoT Systems,” in </w:t>
      </w:r>
      <w:r w:rsidRPr="00C45A77">
        <w:rPr>
          <w:i/>
          <w:iCs/>
          <w:szCs w:val="24"/>
          <w:lang w:val="en-GB" w:eastAsia="en-GB"/>
        </w:rPr>
        <w:t>2018 17th IEEE Int. Conf. Trust Secur. Priv. Comput. Commun. 12th IEEE Int. Conf. Big Data Sci. Eng. Trust.</w:t>
      </w:r>
      <w:r w:rsidRPr="00C45A77">
        <w:rPr>
          <w:szCs w:val="24"/>
          <w:lang w:val="en-GB" w:eastAsia="en-GB"/>
        </w:rPr>
        <w:t>, (IEEE, New York, NY, USA, 2018), pp. 289–299.</w:t>
      </w:r>
    </w:p>
    <w:p w14:paraId="5007D27C" w14:textId="77777777" w:rsidR="00C45A77" w:rsidRPr="00C45A77" w:rsidRDefault="00C45A77" w:rsidP="00C45A77">
      <w:pPr>
        <w:pStyle w:val="Reference"/>
        <w:rPr>
          <w:szCs w:val="24"/>
          <w:lang w:val="en-GB" w:eastAsia="en-GB"/>
        </w:rPr>
      </w:pPr>
      <w:r w:rsidRPr="00C45A77">
        <w:rPr>
          <w:szCs w:val="24"/>
          <w:lang w:val="en-GB" w:eastAsia="en-GB"/>
        </w:rPr>
        <w:t xml:space="preserve">T.F.J.-M. Pasquier, J. Singh, D. Eyers, and J. Bacon, “CamFlow: Managed Data-sharing for Cloud Services,” IEEE Trans. Cloud Comput. </w:t>
      </w:r>
      <w:r w:rsidRPr="00C45A77">
        <w:rPr>
          <w:b/>
          <w:bCs/>
          <w:szCs w:val="24"/>
          <w:lang w:val="en-GB" w:eastAsia="en-GB"/>
        </w:rPr>
        <w:t>5</w:t>
      </w:r>
      <w:r w:rsidRPr="00C45A77">
        <w:rPr>
          <w:szCs w:val="24"/>
          <w:lang w:val="en-GB" w:eastAsia="en-GB"/>
        </w:rPr>
        <w:t>(3), 472–484 (2017).</w:t>
      </w:r>
    </w:p>
    <w:p w14:paraId="56975550" w14:textId="0AF1AD56" w:rsidR="00860E6E" w:rsidRPr="00860E6E" w:rsidRDefault="00C45A77" w:rsidP="00860E6E">
      <w:pPr>
        <w:pStyle w:val="Reference"/>
        <w:rPr>
          <w:szCs w:val="24"/>
          <w:lang w:val="en-GB" w:eastAsia="en-GB"/>
        </w:rPr>
      </w:pPr>
      <w:r w:rsidRPr="00C45A77">
        <w:rPr>
          <w:szCs w:val="24"/>
          <w:lang w:val="en-GB" w:eastAsia="en-GB"/>
        </w:rPr>
        <w:t xml:space="preserve">F. Martinelli, O. Osliak, P. Mori, and A. Saracino, “Improving security in industry 4.0 by extending OPC-UA with usage control,” in </w:t>
      </w:r>
      <w:r w:rsidRPr="00C45A77">
        <w:rPr>
          <w:i/>
          <w:iCs/>
          <w:szCs w:val="24"/>
          <w:lang w:val="en-GB" w:eastAsia="en-GB"/>
        </w:rPr>
        <w:t>Proc. 15th Int. Conf. Availab. Reliab. Secur.</w:t>
      </w:r>
      <w:r w:rsidRPr="00C45A77">
        <w:rPr>
          <w:szCs w:val="24"/>
          <w:lang w:val="en-GB" w:eastAsia="en-GB"/>
        </w:rPr>
        <w:t>, (ACM, Virtual Event Ireland, 2020), pp. 1–10.</w:t>
      </w:r>
    </w:p>
    <w:p w14:paraId="4DE91CCB" w14:textId="6A552B8C" w:rsidR="00326AE0" w:rsidRPr="00114AB1" w:rsidRDefault="00BD5DBF" w:rsidP="00C45A77">
      <w:pPr>
        <w:pStyle w:val="Reference"/>
        <w:numPr>
          <w:ilvl w:val="0"/>
          <w:numId w:val="0"/>
        </w:numPr>
      </w:pPr>
      <w:r>
        <w:fldChar w:fldCharType="end"/>
      </w:r>
    </w:p>
    <w:sectPr w:rsidR="00326AE0" w:rsidRPr="00114AB1" w:rsidSect="000141E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41E1"/>
    <w:rsid w:val="00014606"/>
    <w:rsid w:val="000207AD"/>
    <w:rsid w:val="00027428"/>
    <w:rsid w:val="00031EC9"/>
    <w:rsid w:val="000507AF"/>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208E"/>
    <w:rsid w:val="00153EF7"/>
    <w:rsid w:val="00155B67"/>
    <w:rsid w:val="001562AF"/>
    <w:rsid w:val="00161A5B"/>
    <w:rsid w:val="00162A21"/>
    <w:rsid w:val="0016385D"/>
    <w:rsid w:val="0016782F"/>
    <w:rsid w:val="001937E9"/>
    <w:rsid w:val="001964E5"/>
    <w:rsid w:val="001966D4"/>
    <w:rsid w:val="001B263B"/>
    <w:rsid w:val="001B476A"/>
    <w:rsid w:val="001C2E8D"/>
    <w:rsid w:val="001C764F"/>
    <w:rsid w:val="001C7BB3"/>
    <w:rsid w:val="001D469C"/>
    <w:rsid w:val="002042A2"/>
    <w:rsid w:val="0021619E"/>
    <w:rsid w:val="0023171B"/>
    <w:rsid w:val="00236BFC"/>
    <w:rsid w:val="00237437"/>
    <w:rsid w:val="00237CCB"/>
    <w:rsid w:val="00245DFA"/>
    <w:rsid w:val="002502FD"/>
    <w:rsid w:val="00274622"/>
    <w:rsid w:val="002855ED"/>
    <w:rsid w:val="00285D24"/>
    <w:rsid w:val="00286ED2"/>
    <w:rsid w:val="00290390"/>
    <w:rsid w:val="002915D3"/>
    <w:rsid w:val="002924DB"/>
    <w:rsid w:val="002941DA"/>
    <w:rsid w:val="002B2219"/>
    <w:rsid w:val="002B5648"/>
    <w:rsid w:val="002D46A7"/>
    <w:rsid w:val="002E3C35"/>
    <w:rsid w:val="002F5298"/>
    <w:rsid w:val="00326AE0"/>
    <w:rsid w:val="00337E4F"/>
    <w:rsid w:val="00340C36"/>
    <w:rsid w:val="00346A9D"/>
    <w:rsid w:val="0039376F"/>
    <w:rsid w:val="003A287B"/>
    <w:rsid w:val="003A5C85"/>
    <w:rsid w:val="003A61B1"/>
    <w:rsid w:val="003B0050"/>
    <w:rsid w:val="003C16BF"/>
    <w:rsid w:val="003D6312"/>
    <w:rsid w:val="003E7C74"/>
    <w:rsid w:val="003F31C6"/>
    <w:rsid w:val="0040225B"/>
    <w:rsid w:val="00402DA2"/>
    <w:rsid w:val="00405C2D"/>
    <w:rsid w:val="0040752B"/>
    <w:rsid w:val="00425AC2"/>
    <w:rsid w:val="0043316B"/>
    <w:rsid w:val="0044771F"/>
    <w:rsid w:val="004A67FB"/>
    <w:rsid w:val="004B151D"/>
    <w:rsid w:val="004C7243"/>
    <w:rsid w:val="004E21DE"/>
    <w:rsid w:val="004E3C57"/>
    <w:rsid w:val="004E3CB2"/>
    <w:rsid w:val="004E627B"/>
    <w:rsid w:val="00511F50"/>
    <w:rsid w:val="0052559D"/>
    <w:rsid w:val="00525813"/>
    <w:rsid w:val="0053513F"/>
    <w:rsid w:val="0054350B"/>
    <w:rsid w:val="00563F35"/>
    <w:rsid w:val="00574405"/>
    <w:rsid w:val="005854B0"/>
    <w:rsid w:val="00596564"/>
    <w:rsid w:val="005A0E21"/>
    <w:rsid w:val="005B3A34"/>
    <w:rsid w:val="005D49AF"/>
    <w:rsid w:val="005E415C"/>
    <w:rsid w:val="005E71ED"/>
    <w:rsid w:val="005E7946"/>
    <w:rsid w:val="005F7475"/>
    <w:rsid w:val="00611299"/>
    <w:rsid w:val="006121CD"/>
    <w:rsid w:val="00613B4D"/>
    <w:rsid w:val="00616365"/>
    <w:rsid w:val="00616F3B"/>
    <w:rsid w:val="006249A7"/>
    <w:rsid w:val="00631F32"/>
    <w:rsid w:val="0064225B"/>
    <w:rsid w:val="006451F0"/>
    <w:rsid w:val="006763F9"/>
    <w:rsid w:val="006949BC"/>
    <w:rsid w:val="006C123A"/>
    <w:rsid w:val="006D1229"/>
    <w:rsid w:val="006D372F"/>
    <w:rsid w:val="006D7A18"/>
    <w:rsid w:val="006E4474"/>
    <w:rsid w:val="00701388"/>
    <w:rsid w:val="00723B7F"/>
    <w:rsid w:val="00725861"/>
    <w:rsid w:val="0073393A"/>
    <w:rsid w:val="0073539D"/>
    <w:rsid w:val="007409B4"/>
    <w:rsid w:val="00756097"/>
    <w:rsid w:val="00767B8A"/>
    <w:rsid w:val="00775481"/>
    <w:rsid w:val="007A233B"/>
    <w:rsid w:val="007B4863"/>
    <w:rsid w:val="007C01FE"/>
    <w:rsid w:val="007C65E6"/>
    <w:rsid w:val="007D406B"/>
    <w:rsid w:val="007D4407"/>
    <w:rsid w:val="007E1CA3"/>
    <w:rsid w:val="00812D62"/>
    <w:rsid w:val="00812F29"/>
    <w:rsid w:val="00821713"/>
    <w:rsid w:val="008219EC"/>
    <w:rsid w:val="00827050"/>
    <w:rsid w:val="0083278B"/>
    <w:rsid w:val="00834538"/>
    <w:rsid w:val="00850E89"/>
    <w:rsid w:val="00852928"/>
    <w:rsid w:val="008566E2"/>
    <w:rsid w:val="00860E6E"/>
    <w:rsid w:val="008664F2"/>
    <w:rsid w:val="008930E4"/>
    <w:rsid w:val="00893821"/>
    <w:rsid w:val="00897894"/>
    <w:rsid w:val="008A7B9C"/>
    <w:rsid w:val="008B39FA"/>
    <w:rsid w:val="008B4754"/>
    <w:rsid w:val="008D5C26"/>
    <w:rsid w:val="008E6A7A"/>
    <w:rsid w:val="008F1038"/>
    <w:rsid w:val="008F7046"/>
    <w:rsid w:val="009005FC"/>
    <w:rsid w:val="00922E5A"/>
    <w:rsid w:val="00936AAE"/>
    <w:rsid w:val="00943315"/>
    <w:rsid w:val="00946C27"/>
    <w:rsid w:val="00951C82"/>
    <w:rsid w:val="009854E8"/>
    <w:rsid w:val="00985874"/>
    <w:rsid w:val="009A4F3D"/>
    <w:rsid w:val="009B696B"/>
    <w:rsid w:val="009B7671"/>
    <w:rsid w:val="009D766C"/>
    <w:rsid w:val="009E5BA1"/>
    <w:rsid w:val="009F056E"/>
    <w:rsid w:val="00A159F7"/>
    <w:rsid w:val="00A24F3D"/>
    <w:rsid w:val="00A26DCD"/>
    <w:rsid w:val="00A314BB"/>
    <w:rsid w:val="00A32B7D"/>
    <w:rsid w:val="00A5596B"/>
    <w:rsid w:val="00A56397"/>
    <w:rsid w:val="00A646B3"/>
    <w:rsid w:val="00A6739B"/>
    <w:rsid w:val="00A90413"/>
    <w:rsid w:val="00AA5BB0"/>
    <w:rsid w:val="00AA728C"/>
    <w:rsid w:val="00AB0A9C"/>
    <w:rsid w:val="00AB2439"/>
    <w:rsid w:val="00AB636D"/>
    <w:rsid w:val="00AB7119"/>
    <w:rsid w:val="00AD5855"/>
    <w:rsid w:val="00AE7500"/>
    <w:rsid w:val="00AE7F87"/>
    <w:rsid w:val="00AF3542"/>
    <w:rsid w:val="00AF5ABE"/>
    <w:rsid w:val="00B00415"/>
    <w:rsid w:val="00B03C2A"/>
    <w:rsid w:val="00B1000D"/>
    <w:rsid w:val="00B10134"/>
    <w:rsid w:val="00B14782"/>
    <w:rsid w:val="00B16BFE"/>
    <w:rsid w:val="00B479DD"/>
    <w:rsid w:val="00B500E5"/>
    <w:rsid w:val="00B74B5B"/>
    <w:rsid w:val="00B818EA"/>
    <w:rsid w:val="00B81A27"/>
    <w:rsid w:val="00B83AAA"/>
    <w:rsid w:val="00B87865"/>
    <w:rsid w:val="00BA39BB"/>
    <w:rsid w:val="00BA3B3D"/>
    <w:rsid w:val="00BA7BAB"/>
    <w:rsid w:val="00BB7EEA"/>
    <w:rsid w:val="00BD1909"/>
    <w:rsid w:val="00BD5DBF"/>
    <w:rsid w:val="00BD773F"/>
    <w:rsid w:val="00BE053E"/>
    <w:rsid w:val="00BE5E16"/>
    <w:rsid w:val="00BE5FD1"/>
    <w:rsid w:val="00C06E05"/>
    <w:rsid w:val="00C14B14"/>
    <w:rsid w:val="00C17370"/>
    <w:rsid w:val="00C2054D"/>
    <w:rsid w:val="00C252EB"/>
    <w:rsid w:val="00C26EC0"/>
    <w:rsid w:val="00C45A77"/>
    <w:rsid w:val="00C461BA"/>
    <w:rsid w:val="00C56C77"/>
    <w:rsid w:val="00C60411"/>
    <w:rsid w:val="00C67502"/>
    <w:rsid w:val="00C7048B"/>
    <w:rsid w:val="00C84923"/>
    <w:rsid w:val="00CB7B3E"/>
    <w:rsid w:val="00CC739D"/>
    <w:rsid w:val="00CE75AC"/>
    <w:rsid w:val="00D04468"/>
    <w:rsid w:val="00D112B9"/>
    <w:rsid w:val="00D12DFB"/>
    <w:rsid w:val="00D30640"/>
    <w:rsid w:val="00D36257"/>
    <w:rsid w:val="00D45811"/>
    <w:rsid w:val="00D4687E"/>
    <w:rsid w:val="00D53A12"/>
    <w:rsid w:val="00D65517"/>
    <w:rsid w:val="00D6580C"/>
    <w:rsid w:val="00D87E2A"/>
    <w:rsid w:val="00DB0C43"/>
    <w:rsid w:val="00DD665C"/>
    <w:rsid w:val="00DE3354"/>
    <w:rsid w:val="00DE62EF"/>
    <w:rsid w:val="00DF7DCD"/>
    <w:rsid w:val="00E50B7D"/>
    <w:rsid w:val="00E7533F"/>
    <w:rsid w:val="00E77E9B"/>
    <w:rsid w:val="00E904A1"/>
    <w:rsid w:val="00E90FAC"/>
    <w:rsid w:val="00EB7D28"/>
    <w:rsid w:val="00EC0D0C"/>
    <w:rsid w:val="00ED4A2C"/>
    <w:rsid w:val="00EE2304"/>
    <w:rsid w:val="00EF045A"/>
    <w:rsid w:val="00EF6940"/>
    <w:rsid w:val="00F021A3"/>
    <w:rsid w:val="00F2044A"/>
    <w:rsid w:val="00F20BFC"/>
    <w:rsid w:val="00F24D5F"/>
    <w:rsid w:val="00F26013"/>
    <w:rsid w:val="00F726C3"/>
    <w:rsid w:val="00F820CA"/>
    <w:rsid w:val="00F8554C"/>
    <w:rsid w:val="00F945C7"/>
    <w:rsid w:val="00F95F82"/>
    <w:rsid w:val="00F97983"/>
    <w:rsid w:val="00F97A90"/>
    <w:rsid w:val="00FC2F35"/>
    <w:rsid w:val="00FC3FD7"/>
    <w:rsid w:val="00FD1FC6"/>
    <w:rsid w:val="00FE5869"/>
    <w:rsid w:val="00FF614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uiPriority w:val="9"/>
    <w:rsid w:val="00AA5BB0"/>
    <w:rPr>
      <w:b/>
      <w:caps/>
      <w:sz w:val="24"/>
      <w:lang w:val="en-US" w:eastAsia="en-US"/>
    </w:rPr>
  </w:style>
  <w:style w:type="paragraph" w:styleId="Bibliography">
    <w:name w:val="Bibliography"/>
    <w:basedOn w:val="Normal"/>
    <w:next w:val="Normal"/>
    <w:uiPriority w:val="37"/>
    <w:unhideWhenUsed/>
    <w:rsid w:val="00BD5DBF"/>
    <w:pPr>
      <w:tabs>
        <w:tab w:val="left" w:pos="3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2">
      <w:bodyDiv w:val="1"/>
      <w:marLeft w:val="0"/>
      <w:marRight w:val="0"/>
      <w:marTop w:val="0"/>
      <w:marBottom w:val="0"/>
      <w:divBdr>
        <w:top w:val="none" w:sz="0" w:space="0" w:color="auto"/>
        <w:left w:val="none" w:sz="0" w:space="0" w:color="auto"/>
        <w:bottom w:val="none" w:sz="0" w:space="0" w:color="auto"/>
        <w:right w:val="none" w:sz="0" w:space="0" w:color="auto"/>
      </w:divBdr>
    </w:div>
    <w:div w:id="34819799">
      <w:bodyDiv w:val="1"/>
      <w:marLeft w:val="0"/>
      <w:marRight w:val="0"/>
      <w:marTop w:val="0"/>
      <w:marBottom w:val="0"/>
      <w:divBdr>
        <w:top w:val="none" w:sz="0" w:space="0" w:color="auto"/>
        <w:left w:val="none" w:sz="0" w:space="0" w:color="auto"/>
        <w:bottom w:val="none" w:sz="0" w:space="0" w:color="auto"/>
        <w:right w:val="none" w:sz="0" w:space="0" w:color="auto"/>
      </w:divBdr>
    </w:div>
    <w:div w:id="213271368">
      <w:bodyDiv w:val="1"/>
      <w:marLeft w:val="0"/>
      <w:marRight w:val="0"/>
      <w:marTop w:val="0"/>
      <w:marBottom w:val="0"/>
      <w:divBdr>
        <w:top w:val="none" w:sz="0" w:space="0" w:color="auto"/>
        <w:left w:val="none" w:sz="0" w:space="0" w:color="auto"/>
        <w:bottom w:val="none" w:sz="0" w:space="0" w:color="auto"/>
        <w:right w:val="none" w:sz="0" w:space="0" w:color="auto"/>
      </w:divBdr>
    </w:div>
    <w:div w:id="244999427">
      <w:bodyDiv w:val="1"/>
      <w:marLeft w:val="0"/>
      <w:marRight w:val="0"/>
      <w:marTop w:val="0"/>
      <w:marBottom w:val="0"/>
      <w:divBdr>
        <w:top w:val="none" w:sz="0" w:space="0" w:color="auto"/>
        <w:left w:val="none" w:sz="0" w:space="0" w:color="auto"/>
        <w:bottom w:val="none" w:sz="0" w:space="0" w:color="auto"/>
        <w:right w:val="none" w:sz="0" w:space="0" w:color="auto"/>
      </w:divBdr>
    </w:div>
    <w:div w:id="265508698">
      <w:bodyDiv w:val="1"/>
      <w:marLeft w:val="0"/>
      <w:marRight w:val="0"/>
      <w:marTop w:val="0"/>
      <w:marBottom w:val="0"/>
      <w:divBdr>
        <w:top w:val="none" w:sz="0" w:space="0" w:color="auto"/>
        <w:left w:val="none" w:sz="0" w:space="0" w:color="auto"/>
        <w:bottom w:val="none" w:sz="0" w:space="0" w:color="auto"/>
        <w:right w:val="none" w:sz="0" w:space="0" w:color="auto"/>
      </w:divBdr>
    </w:div>
    <w:div w:id="311252982">
      <w:bodyDiv w:val="1"/>
      <w:marLeft w:val="0"/>
      <w:marRight w:val="0"/>
      <w:marTop w:val="0"/>
      <w:marBottom w:val="0"/>
      <w:divBdr>
        <w:top w:val="none" w:sz="0" w:space="0" w:color="auto"/>
        <w:left w:val="none" w:sz="0" w:space="0" w:color="auto"/>
        <w:bottom w:val="none" w:sz="0" w:space="0" w:color="auto"/>
        <w:right w:val="none" w:sz="0" w:space="0" w:color="auto"/>
      </w:divBdr>
    </w:div>
    <w:div w:id="327487699">
      <w:bodyDiv w:val="1"/>
      <w:marLeft w:val="0"/>
      <w:marRight w:val="0"/>
      <w:marTop w:val="0"/>
      <w:marBottom w:val="0"/>
      <w:divBdr>
        <w:top w:val="none" w:sz="0" w:space="0" w:color="auto"/>
        <w:left w:val="none" w:sz="0" w:space="0" w:color="auto"/>
        <w:bottom w:val="none" w:sz="0" w:space="0" w:color="auto"/>
        <w:right w:val="none" w:sz="0" w:space="0" w:color="auto"/>
      </w:divBdr>
    </w:div>
    <w:div w:id="464008673">
      <w:bodyDiv w:val="1"/>
      <w:marLeft w:val="0"/>
      <w:marRight w:val="0"/>
      <w:marTop w:val="0"/>
      <w:marBottom w:val="0"/>
      <w:divBdr>
        <w:top w:val="none" w:sz="0" w:space="0" w:color="auto"/>
        <w:left w:val="none" w:sz="0" w:space="0" w:color="auto"/>
        <w:bottom w:val="none" w:sz="0" w:space="0" w:color="auto"/>
        <w:right w:val="none" w:sz="0" w:space="0" w:color="auto"/>
      </w:divBdr>
    </w:div>
    <w:div w:id="478617926">
      <w:bodyDiv w:val="1"/>
      <w:marLeft w:val="0"/>
      <w:marRight w:val="0"/>
      <w:marTop w:val="0"/>
      <w:marBottom w:val="0"/>
      <w:divBdr>
        <w:top w:val="none" w:sz="0" w:space="0" w:color="auto"/>
        <w:left w:val="none" w:sz="0" w:space="0" w:color="auto"/>
        <w:bottom w:val="none" w:sz="0" w:space="0" w:color="auto"/>
        <w:right w:val="none" w:sz="0" w:space="0" w:color="auto"/>
      </w:divBdr>
    </w:div>
    <w:div w:id="587351321">
      <w:bodyDiv w:val="1"/>
      <w:marLeft w:val="0"/>
      <w:marRight w:val="0"/>
      <w:marTop w:val="0"/>
      <w:marBottom w:val="0"/>
      <w:divBdr>
        <w:top w:val="none" w:sz="0" w:space="0" w:color="auto"/>
        <w:left w:val="none" w:sz="0" w:space="0" w:color="auto"/>
        <w:bottom w:val="none" w:sz="0" w:space="0" w:color="auto"/>
        <w:right w:val="none" w:sz="0" w:space="0" w:color="auto"/>
      </w:divBdr>
    </w:div>
    <w:div w:id="622005397">
      <w:bodyDiv w:val="1"/>
      <w:marLeft w:val="0"/>
      <w:marRight w:val="0"/>
      <w:marTop w:val="0"/>
      <w:marBottom w:val="0"/>
      <w:divBdr>
        <w:top w:val="none" w:sz="0" w:space="0" w:color="auto"/>
        <w:left w:val="none" w:sz="0" w:space="0" w:color="auto"/>
        <w:bottom w:val="none" w:sz="0" w:space="0" w:color="auto"/>
        <w:right w:val="none" w:sz="0" w:space="0" w:color="auto"/>
      </w:divBdr>
    </w:div>
    <w:div w:id="623538273">
      <w:bodyDiv w:val="1"/>
      <w:marLeft w:val="0"/>
      <w:marRight w:val="0"/>
      <w:marTop w:val="0"/>
      <w:marBottom w:val="0"/>
      <w:divBdr>
        <w:top w:val="none" w:sz="0" w:space="0" w:color="auto"/>
        <w:left w:val="none" w:sz="0" w:space="0" w:color="auto"/>
        <w:bottom w:val="none" w:sz="0" w:space="0" w:color="auto"/>
        <w:right w:val="none" w:sz="0" w:space="0" w:color="auto"/>
      </w:divBdr>
    </w:div>
    <w:div w:id="682901060">
      <w:bodyDiv w:val="1"/>
      <w:marLeft w:val="0"/>
      <w:marRight w:val="0"/>
      <w:marTop w:val="0"/>
      <w:marBottom w:val="0"/>
      <w:divBdr>
        <w:top w:val="none" w:sz="0" w:space="0" w:color="auto"/>
        <w:left w:val="none" w:sz="0" w:space="0" w:color="auto"/>
        <w:bottom w:val="none" w:sz="0" w:space="0" w:color="auto"/>
        <w:right w:val="none" w:sz="0" w:space="0" w:color="auto"/>
      </w:divBdr>
    </w:div>
    <w:div w:id="832061055">
      <w:bodyDiv w:val="1"/>
      <w:marLeft w:val="0"/>
      <w:marRight w:val="0"/>
      <w:marTop w:val="0"/>
      <w:marBottom w:val="0"/>
      <w:divBdr>
        <w:top w:val="none" w:sz="0" w:space="0" w:color="auto"/>
        <w:left w:val="none" w:sz="0" w:space="0" w:color="auto"/>
        <w:bottom w:val="none" w:sz="0" w:space="0" w:color="auto"/>
        <w:right w:val="none" w:sz="0" w:space="0" w:color="auto"/>
      </w:divBdr>
    </w:div>
    <w:div w:id="884294136">
      <w:bodyDiv w:val="1"/>
      <w:marLeft w:val="0"/>
      <w:marRight w:val="0"/>
      <w:marTop w:val="0"/>
      <w:marBottom w:val="0"/>
      <w:divBdr>
        <w:top w:val="none" w:sz="0" w:space="0" w:color="auto"/>
        <w:left w:val="none" w:sz="0" w:space="0" w:color="auto"/>
        <w:bottom w:val="none" w:sz="0" w:space="0" w:color="auto"/>
        <w:right w:val="none" w:sz="0" w:space="0" w:color="auto"/>
      </w:divBdr>
    </w:div>
    <w:div w:id="948123466">
      <w:bodyDiv w:val="1"/>
      <w:marLeft w:val="0"/>
      <w:marRight w:val="0"/>
      <w:marTop w:val="0"/>
      <w:marBottom w:val="0"/>
      <w:divBdr>
        <w:top w:val="none" w:sz="0" w:space="0" w:color="auto"/>
        <w:left w:val="none" w:sz="0" w:space="0" w:color="auto"/>
        <w:bottom w:val="none" w:sz="0" w:space="0" w:color="auto"/>
        <w:right w:val="none" w:sz="0" w:space="0" w:color="auto"/>
      </w:divBdr>
    </w:div>
    <w:div w:id="968779562">
      <w:bodyDiv w:val="1"/>
      <w:marLeft w:val="0"/>
      <w:marRight w:val="0"/>
      <w:marTop w:val="0"/>
      <w:marBottom w:val="0"/>
      <w:divBdr>
        <w:top w:val="none" w:sz="0" w:space="0" w:color="auto"/>
        <w:left w:val="none" w:sz="0" w:space="0" w:color="auto"/>
        <w:bottom w:val="none" w:sz="0" w:space="0" w:color="auto"/>
        <w:right w:val="none" w:sz="0" w:space="0" w:color="auto"/>
      </w:divBdr>
    </w:div>
    <w:div w:id="1114441506">
      <w:bodyDiv w:val="1"/>
      <w:marLeft w:val="0"/>
      <w:marRight w:val="0"/>
      <w:marTop w:val="0"/>
      <w:marBottom w:val="0"/>
      <w:divBdr>
        <w:top w:val="none" w:sz="0" w:space="0" w:color="auto"/>
        <w:left w:val="none" w:sz="0" w:space="0" w:color="auto"/>
        <w:bottom w:val="none" w:sz="0" w:space="0" w:color="auto"/>
        <w:right w:val="none" w:sz="0" w:space="0" w:color="auto"/>
      </w:divBdr>
    </w:div>
    <w:div w:id="12153883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311619">
      <w:bodyDiv w:val="1"/>
      <w:marLeft w:val="0"/>
      <w:marRight w:val="0"/>
      <w:marTop w:val="0"/>
      <w:marBottom w:val="0"/>
      <w:divBdr>
        <w:top w:val="none" w:sz="0" w:space="0" w:color="auto"/>
        <w:left w:val="none" w:sz="0" w:space="0" w:color="auto"/>
        <w:bottom w:val="none" w:sz="0" w:space="0" w:color="auto"/>
        <w:right w:val="none" w:sz="0" w:space="0" w:color="auto"/>
      </w:divBdr>
    </w:div>
    <w:div w:id="1268191972">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4967599">
      <w:bodyDiv w:val="1"/>
      <w:marLeft w:val="0"/>
      <w:marRight w:val="0"/>
      <w:marTop w:val="0"/>
      <w:marBottom w:val="0"/>
      <w:divBdr>
        <w:top w:val="none" w:sz="0" w:space="0" w:color="auto"/>
        <w:left w:val="none" w:sz="0" w:space="0" w:color="auto"/>
        <w:bottom w:val="none" w:sz="0" w:space="0" w:color="auto"/>
        <w:right w:val="none" w:sz="0" w:space="0" w:color="auto"/>
      </w:divBdr>
    </w:div>
    <w:div w:id="1397243397">
      <w:bodyDiv w:val="1"/>
      <w:marLeft w:val="0"/>
      <w:marRight w:val="0"/>
      <w:marTop w:val="0"/>
      <w:marBottom w:val="0"/>
      <w:divBdr>
        <w:top w:val="none" w:sz="0" w:space="0" w:color="auto"/>
        <w:left w:val="none" w:sz="0" w:space="0" w:color="auto"/>
        <w:bottom w:val="none" w:sz="0" w:space="0" w:color="auto"/>
        <w:right w:val="none" w:sz="0" w:space="0" w:color="auto"/>
      </w:divBdr>
    </w:div>
    <w:div w:id="1435175696">
      <w:bodyDiv w:val="1"/>
      <w:marLeft w:val="0"/>
      <w:marRight w:val="0"/>
      <w:marTop w:val="0"/>
      <w:marBottom w:val="0"/>
      <w:divBdr>
        <w:top w:val="none" w:sz="0" w:space="0" w:color="auto"/>
        <w:left w:val="none" w:sz="0" w:space="0" w:color="auto"/>
        <w:bottom w:val="none" w:sz="0" w:space="0" w:color="auto"/>
        <w:right w:val="none" w:sz="0" w:space="0" w:color="auto"/>
      </w:divBdr>
      <w:divsChild>
        <w:div w:id="109007890">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476532994">
      <w:bodyDiv w:val="1"/>
      <w:marLeft w:val="0"/>
      <w:marRight w:val="0"/>
      <w:marTop w:val="0"/>
      <w:marBottom w:val="0"/>
      <w:divBdr>
        <w:top w:val="none" w:sz="0" w:space="0" w:color="auto"/>
        <w:left w:val="none" w:sz="0" w:space="0" w:color="auto"/>
        <w:bottom w:val="none" w:sz="0" w:space="0" w:color="auto"/>
        <w:right w:val="none" w:sz="0" w:space="0" w:color="auto"/>
      </w:divBdr>
    </w:div>
    <w:div w:id="1506896019">
      <w:bodyDiv w:val="1"/>
      <w:marLeft w:val="0"/>
      <w:marRight w:val="0"/>
      <w:marTop w:val="0"/>
      <w:marBottom w:val="0"/>
      <w:divBdr>
        <w:top w:val="none" w:sz="0" w:space="0" w:color="auto"/>
        <w:left w:val="none" w:sz="0" w:space="0" w:color="auto"/>
        <w:bottom w:val="none" w:sz="0" w:space="0" w:color="auto"/>
        <w:right w:val="none" w:sz="0" w:space="0" w:color="auto"/>
      </w:divBdr>
    </w:div>
    <w:div w:id="156135633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8967399">
      <w:bodyDiv w:val="1"/>
      <w:marLeft w:val="0"/>
      <w:marRight w:val="0"/>
      <w:marTop w:val="0"/>
      <w:marBottom w:val="0"/>
      <w:divBdr>
        <w:top w:val="none" w:sz="0" w:space="0" w:color="auto"/>
        <w:left w:val="none" w:sz="0" w:space="0" w:color="auto"/>
        <w:bottom w:val="none" w:sz="0" w:space="0" w:color="auto"/>
        <w:right w:val="none" w:sz="0" w:space="0" w:color="auto"/>
      </w:divBdr>
    </w:div>
    <w:div w:id="1906799531">
      <w:bodyDiv w:val="1"/>
      <w:marLeft w:val="0"/>
      <w:marRight w:val="0"/>
      <w:marTop w:val="0"/>
      <w:marBottom w:val="0"/>
      <w:divBdr>
        <w:top w:val="none" w:sz="0" w:space="0" w:color="auto"/>
        <w:left w:val="none" w:sz="0" w:space="0" w:color="auto"/>
        <w:bottom w:val="none" w:sz="0" w:space="0" w:color="auto"/>
        <w:right w:val="none" w:sz="0" w:space="0" w:color="auto"/>
      </w:divBdr>
    </w:div>
    <w:div w:id="203040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164</TotalTime>
  <Pages>7</Pages>
  <Words>6094</Words>
  <Characters>34739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12</cp:revision>
  <cp:lastPrinted>2025-06-13T11:16:00Z</cp:lastPrinted>
  <dcterms:created xsi:type="dcterms:W3CDTF">2025-06-13T11:16:00Z</dcterms:created>
  <dcterms:modified xsi:type="dcterms:W3CDTF">2025-09-29T13:24:00Z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zotero-version="7.0.15"&gt;&lt;session id="hFF3BKyo"/&gt;&lt;style id="http://www.zotero.org/styles/aip-advances" hasBibliography="1" bibliographyStyleHasBeenSet="1"/&gt;&lt;prefs&gt;&lt;pref name="fieldType" value="Field"/&gt;&lt;pref name="automaticJournalAbbr</vt:lpwstr>
  </property>
  <property fmtid="{D5CDD505-2E9C-101B-9397-08002B2CF9AE}" pid="4" name="ZOTERO_PREF_2">
    <vt:lpwstr>eviations" value="true"/&gt;&lt;/prefs&gt;&lt;/data&gt;</vt:lpwstr>
  </property>
</Properties>
</file>